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90524328" w:displacedByCustomXml="next"/>
    <w:sdt>
      <w:sdtPr>
        <w:rPr>
          <w:caps/>
        </w:rPr>
        <w:id w:val="569309148"/>
        <w:docPartObj>
          <w:docPartGallery w:val="Cover Pages"/>
          <w:docPartUnique/>
        </w:docPartObj>
      </w:sdtPr>
      <w:sdtEndPr>
        <w:rPr>
          <w:rFonts w:eastAsia="Times New Roman"/>
          <w:i/>
          <w:caps w:val="0"/>
          <w:sz w:val="28"/>
          <w:szCs w:val="28"/>
        </w:rPr>
      </w:sdtEndPr>
      <w:sdtContent>
        <w:tbl>
          <w:tblPr>
            <w:tblW w:w="5000" w:type="pct"/>
            <w:jc w:val="center"/>
            <w:tblLook w:val="04A0" w:firstRow="1" w:lastRow="0" w:firstColumn="1" w:lastColumn="0" w:noHBand="0" w:noVBand="1"/>
          </w:tblPr>
          <w:tblGrid>
            <w:gridCol w:w="9576"/>
          </w:tblGrid>
          <w:tr w:rsidR="002050EF">
            <w:trPr>
              <w:trHeight w:val="2880"/>
              <w:jc w:val="center"/>
            </w:trPr>
            <w:tc>
              <w:tcPr>
                <w:tcW w:w="5000" w:type="pct"/>
              </w:tcPr>
              <w:p w:rsidR="002050EF" w:rsidRDefault="002050EF" w:rsidP="00FD4DE9">
                <w:pPr>
                  <w:pStyle w:val="NoSpacing"/>
                  <w:jc w:val="center"/>
                  <w:rPr>
                    <w:caps/>
                  </w:rPr>
                </w:pPr>
              </w:p>
            </w:tc>
          </w:tr>
          <w:tr w:rsidR="002050EF" w:rsidRPr="00F24A7C">
            <w:trPr>
              <w:trHeight w:val="1440"/>
              <w:jc w:val="center"/>
            </w:trPr>
            <w:tc>
              <w:tcPr>
                <w:tcW w:w="5000" w:type="pct"/>
                <w:tcBorders>
                  <w:bottom w:val="single" w:sz="4" w:space="0" w:color="4F81BD" w:themeColor="accent1"/>
                </w:tcBorders>
                <w:vAlign w:val="center"/>
              </w:tcPr>
              <w:p w:rsidR="002050EF" w:rsidRPr="00F24A7C" w:rsidRDefault="00FD4DE9" w:rsidP="00F24A7C">
                <w:pPr>
                  <w:pStyle w:val="NoSpacing"/>
                  <w:jc w:val="center"/>
                  <w:rPr>
                    <w:sz w:val="36"/>
                    <w:szCs w:val="36"/>
                  </w:rPr>
                </w:pPr>
                <w:r>
                  <w:rPr>
                    <w:sz w:val="36"/>
                    <w:szCs w:val="36"/>
                  </w:rPr>
                  <w:t>Proposed CCNY Extension Final Environmental Impact Assessment</w:t>
                </w:r>
              </w:p>
            </w:tc>
          </w:tr>
          <w:tr w:rsidR="002050EF" w:rsidRPr="00F24A7C">
            <w:trPr>
              <w:trHeight w:val="720"/>
              <w:jc w:val="center"/>
            </w:trPr>
            <w:tc>
              <w:tcPr>
                <w:tcW w:w="5000" w:type="pct"/>
                <w:tcBorders>
                  <w:top w:val="single" w:sz="4" w:space="0" w:color="4F81BD" w:themeColor="accent1"/>
                </w:tcBorders>
                <w:vAlign w:val="center"/>
              </w:tcPr>
              <w:p w:rsidR="002050EF" w:rsidRPr="00F24A7C" w:rsidRDefault="00F24A7C" w:rsidP="00F24A7C">
                <w:pPr>
                  <w:pStyle w:val="NoSpacing"/>
                  <w:jc w:val="center"/>
                  <w:rPr>
                    <w:sz w:val="32"/>
                    <w:szCs w:val="32"/>
                  </w:rPr>
                </w:pPr>
                <w:r w:rsidRPr="00F24A7C">
                  <w:rPr>
                    <w:sz w:val="32"/>
                    <w:szCs w:val="32"/>
                  </w:rPr>
                  <w:t>Solid Waste Management Group</w:t>
                </w:r>
              </w:p>
            </w:tc>
          </w:tr>
          <w:tr w:rsidR="002050EF">
            <w:trPr>
              <w:trHeight w:val="360"/>
              <w:jc w:val="center"/>
            </w:trPr>
            <w:tc>
              <w:tcPr>
                <w:tcW w:w="5000" w:type="pct"/>
                <w:vAlign w:val="center"/>
              </w:tcPr>
              <w:p w:rsidR="002050EF" w:rsidRDefault="002050EF">
                <w:pPr>
                  <w:pStyle w:val="NoSpacing"/>
                  <w:jc w:val="center"/>
                </w:pPr>
              </w:p>
            </w:tc>
          </w:tr>
          <w:tr w:rsidR="002050EF">
            <w:trPr>
              <w:trHeight w:val="360"/>
              <w:jc w:val="center"/>
            </w:trPr>
            <w:tc>
              <w:tcPr>
                <w:tcW w:w="5000" w:type="pct"/>
                <w:vAlign w:val="center"/>
              </w:tcPr>
              <w:p w:rsidR="002050EF" w:rsidRDefault="00F24A7C" w:rsidP="00F24A7C">
                <w:pPr>
                  <w:pStyle w:val="NoSpacing"/>
                  <w:jc w:val="center"/>
                  <w:rPr>
                    <w:b/>
                    <w:bCs/>
                  </w:rPr>
                </w:pPr>
                <w:r>
                  <w:rPr>
                    <w:b/>
                    <w:bCs/>
                  </w:rPr>
                  <w:t>Benjamin Conable, Ksenia Shikhmacheva, Sebastian Tinazzi, Jubair Uddin</w:t>
                </w:r>
              </w:p>
            </w:tc>
          </w:tr>
          <w:tr w:rsidR="002050EF">
            <w:trPr>
              <w:trHeight w:val="360"/>
              <w:jc w:val="center"/>
            </w:trPr>
            <w:tc>
              <w:tcPr>
                <w:tcW w:w="5000" w:type="pct"/>
                <w:vAlign w:val="center"/>
              </w:tcPr>
              <w:p w:rsidR="002050EF" w:rsidRDefault="0081282E" w:rsidP="0081282E">
                <w:pPr>
                  <w:pStyle w:val="NoSpacing"/>
                  <w:jc w:val="center"/>
                  <w:rPr>
                    <w:b/>
                    <w:bCs/>
                  </w:rPr>
                </w:pPr>
                <w:r>
                  <w:rPr>
                    <w:b/>
                    <w:bCs/>
                  </w:rPr>
                  <w:t>5</w:t>
                </w:r>
                <w:r w:rsidR="00F24A7C">
                  <w:rPr>
                    <w:b/>
                    <w:bCs/>
                  </w:rPr>
                  <w:t>/</w:t>
                </w:r>
                <w:r>
                  <w:rPr>
                    <w:b/>
                    <w:bCs/>
                  </w:rPr>
                  <w:t>9</w:t>
                </w:r>
                <w:r w:rsidR="00F24A7C">
                  <w:rPr>
                    <w:b/>
                    <w:bCs/>
                  </w:rPr>
                  <w:t>/2011</w:t>
                </w:r>
              </w:p>
            </w:tc>
          </w:tr>
        </w:tbl>
        <w:p w:rsidR="002050EF" w:rsidRDefault="002050EF"/>
        <w:p w:rsidR="002050EF" w:rsidRDefault="002050EF"/>
        <w:tbl>
          <w:tblPr>
            <w:tblpPr w:leftFromText="187" w:rightFromText="187" w:horzAnchor="margin" w:tblpXSpec="center" w:tblpYSpec="bottom"/>
            <w:tblW w:w="5000" w:type="pct"/>
            <w:tblLook w:val="04A0" w:firstRow="1" w:lastRow="0" w:firstColumn="1" w:lastColumn="0" w:noHBand="0" w:noVBand="1"/>
          </w:tblPr>
          <w:tblGrid>
            <w:gridCol w:w="9576"/>
          </w:tblGrid>
          <w:tr w:rsidR="002050EF">
            <w:tc>
              <w:tcPr>
                <w:tcW w:w="5000" w:type="pct"/>
              </w:tcPr>
              <w:p w:rsidR="002050EF" w:rsidRDefault="002050EF" w:rsidP="00F24A7C">
                <w:pPr>
                  <w:pStyle w:val="NoSpacing"/>
                </w:pPr>
              </w:p>
            </w:tc>
          </w:tr>
        </w:tbl>
        <w:p w:rsidR="00F24A7C" w:rsidRDefault="00F24A7C">
          <w:pPr>
            <w:rPr>
              <w:rFonts w:eastAsia="Times New Roman"/>
              <w:smallCaps/>
              <w:spacing w:val="5"/>
              <w:sz w:val="36"/>
              <w:szCs w:val="36"/>
            </w:rPr>
          </w:pPr>
        </w:p>
        <w:p w:rsidR="00F24A7C" w:rsidRPr="00667703" w:rsidRDefault="00F24A7C">
          <w:pPr>
            <w:rPr>
              <w:rFonts w:eastAsia="Times New Roman"/>
              <w:smallCaps/>
              <w:spacing w:val="5"/>
              <w:sz w:val="32"/>
              <w:szCs w:val="32"/>
            </w:rPr>
          </w:pPr>
        </w:p>
        <w:p w:rsidR="00F24A7C" w:rsidRPr="00667703" w:rsidRDefault="00F24A7C" w:rsidP="00F24A7C">
          <w:pPr>
            <w:jc w:val="center"/>
            <w:rPr>
              <w:rFonts w:eastAsia="Times New Roman"/>
              <w:smallCaps/>
              <w:spacing w:val="5"/>
              <w:sz w:val="32"/>
              <w:szCs w:val="32"/>
            </w:rPr>
          </w:pPr>
          <w:r w:rsidRPr="00667703">
            <w:rPr>
              <w:rFonts w:eastAsia="Times New Roman"/>
              <w:smallCaps/>
              <w:spacing w:val="5"/>
              <w:sz w:val="32"/>
              <w:szCs w:val="32"/>
            </w:rPr>
            <w:t>CE 372</w:t>
          </w:r>
        </w:p>
        <w:p w:rsidR="00F24A7C" w:rsidRPr="00667703" w:rsidRDefault="00F24A7C" w:rsidP="00F24A7C">
          <w:pPr>
            <w:jc w:val="center"/>
            <w:rPr>
              <w:rFonts w:eastAsia="Times New Roman"/>
              <w:smallCaps/>
              <w:spacing w:val="5"/>
              <w:sz w:val="32"/>
              <w:szCs w:val="32"/>
            </w:rPr>
          </w:pPr>
          <w:r w:rsidRPr="00667703">
            <w:rPr>
              <w:rFonts w:eastAsia="Times New Roman"/>
              <w:smallCaps/>
              <w:spacing w:val="5"/>
              <w:sz w:val="32"/>
              <w:szCs w:val="32"/>
            </w:rPr>
            <w:t>Environmental Impact Assessment</w:t>
          </w:r>
        </w:p>
        <w:p w:rsidR="00F24A7C" w:rsidRPr="00667703" w:rsidRDefault="00F24A7C" w:rsidP="00F24A7C">
          <w:pPr>
            <w:jc w:val="center"/>
            <w:rPr>
              <w:rFonts w:eastAsia="Times New Roman"/>
              <w:smallCaps/>
              <w:spacing w:val="5"/>
              <w:sz w:val="32"/>
              <w:szCs w:val="32"/>
            </w:rPr>
          </w:pPr>
          <w:r w:rsidRPr="00667703">
            <w:rPr>
              <w:rFonts w:eastAsia="Times New Roman"/>
              <w:smallCaps/>
              <w:spacing w:val="5"/>
              <w:sz w:val="32"/>
              <w:szCs w:val="32"/>
            </w:rPr>
            <w:t>Professor: Beth Wittig</w:t>
          </w:r>
        </w:p>
        <w:p w:rsidR="00667703" w:rsidRDefault="00667703">
          <w:pPr>
            <w:rPr>
              <w:rFonts w:eastAsia="Times New Roman"/>
              <w:smallCaps/>
              <w:spacing w:val="5"/>
              <w:sz w:val="32"/>
              <w:szCs w:val="32"/>
            </w:rPr>
          </w:pPr>
        </w:p>
        <w:p w:rsidR="00667703" w:rsidRDefault="00667703">
          <w:pPr>
            <w:rPr>
              <w:rFonts w:eastAsia="Times New Roman"/>
              <w:smallCaps/>
              <w:spacing w:val="5"/>
              <w:sz w:val="32"/>
              <w:szCs w:val="32"/>
            </w:rPr>
          </w:pPr>
        </w:p>
        <w:p w:rsidR="00667703" w:rsidRDefault="00667703" w:rsidP="00667703">
          <w:pPr>
            <w:spacing w:after="0"/>
            <w:jc w:val="center"/>
            <w:rPr>
              <w:rFonts w:eastAsia="Times New Roman"/>
              <w:i/>
              <w:smallCaps/>
              <w:spacing w:val="5"/>
              <w:sz w:val="28"/>
              <w:szCs w:val="28"/>
            </w:rPr>
          </w:pPr>
        </w:p>
        <w:p w:rsidR="00667703" w:rsidRPr="00667703" w:rsidRDefault="00667703" w:rsidP="00667703">
          <w:pPr>
            <w:spacing w:after="0"/>
            <w:jc w:val="center"/>
            <w:rPr>
              <w:rFonts w:eastAsia="Times New Roman"/>
              <w:i/>
              <w:smallCaps/>
              <w:spacing w:val="5"/>
              <w:sz w:val="28"/>
              <w:szCs w:val="28"/>
            </w:rPr>
          </w:pPr>
          <w:r w:rsidRPr="00667703">
            <w:rPr>
              <w:rFonts w:eastAsia="Times New Roman"/>
              <w:i/>
              <w:smallCaps/>
              <w:spacing w:val="5"/>
              <w:sz w:val="28"/>
              <w:szCs w:val="28"/>
            </w:rPr>
            <w:t>The City College of New York</w:t>
          </w:r>
        </w:p>
        <w:p w:rsidR="00667703" w:rsidRPr="00667703" w:rsidRDefault="00667703" w:rsidP="00667703">
          <w:pPr>
            <w:spacing w:after="0"/>
            <w:jc w:val="center"/>
            <w:rPr>
              <w:rFonts w:eastAsia="Times New Roman"/>
              <w:i/>
              <w:smallCaps/>
              <w:spacing w:val="5"/>
              <w:sz w:val="28"/>
              <w:szCs w:val="28"/>
            </w:rPr>
          </w:pPr>
          <w:r w:rsidRPr="00667703">
            <w:rPr>
              <w:rFonts w:eastAsia="Times New Roman"/>
              <w:i/>
              <w:smallCaps/>
              <w:spacing w:val="5"/>
              <w:sz w:val="28"/>
              <w:szCs w:val="28"/>
            </w:rPr>
            <w:t>140</w:t>
          </w:r>
          <w:r w:rsidRPr="00667703">
            <w:rPr>
              <w:rFonts w:eastAsia="Times New Roman"/>
              <w:i/>
              <w:smallCaps/>
              <w:spacing w:val="5"/>
              <w:sz w:val="28"/>
              <w:szCs w:val="28"/>
              <w:vertAlign w:val="superscript"/>
            </w:rPr>
            <w:t>th</w:t>
          </w:r>
          <w:r w:rsidRPr="00667703">
            <w:rPr>
              <w:rFonts w:eastAsia="Times New Roman"/>
              <w:i/>
              <w:smallCaps/>
              <w:spacing w:val="5"/>
              <w:sz w:val="28"/>
              <w:szCs w:val="28"/>
            </w:rPr>
            <w:t xml:space="preserve"> Street &amp; Convent Avenue</w:t>
          </w:r>
        </w:p>
        <w:p w:rsidR="002050EF" w:rsidRPr="00667703" w:rsidRDefault="00667703" w:rsidP="00667703">
          <w:pPr>
            <w:spacing w:after="0"/>
            <w:jc w:val="center"/>
            <w:rPr>
              <w:rFonts w:eastAsia="Times New Roman"/>
              <w:i/>
              <w:smallCaps/>
              <w:spacing w:val="5"/>
              <w:sz w:val="28"/>
              <w:szCs w:val="28"/>
            </w:rPr>
          </w:pPr>
          <w:r w:rsidRPr="00667703">
            <w:rPr>
              <w:rFonts w:eastAsia="Times New Roman"/>
              <w:i/>
              <w:smallCaps/>
              <w:spacing w:val="5"/>
              <w:sz w:val="28"/>
              <w:szCs w:val="28"/>
            </w:rPr>
            <w:t>New York, New York 10031</w:t>
          </w:r>
        </w:p>
      </w:sdtContent>
    </w:sdt>
    <w:sdt>
      <w:sdtPr>
        <w:rPr>
          <w:smallCaps w:val="0"/>
          <w:spacing w:val="0"/>
          <w:sz w:val="22"/>
          <w:szCs w:val="22"/>
          <w:lang w:bidi="ar-SA"/>
        </w:rPr>
        <w:id w:val="1867333897"/>
        <w:docPartObj>
          <w:docPartGallery w:val="Table of Contents"/>
          <w:docPartUnique/>
        </w:docPartObj>
      </w:sdtPr>
      <w:sdtEndPr>
        <w:rPr>
          <w:b/>
          <w:bCs/>
          <w:noProof/>
        </w:rPr>
      </w:sdtEndPr>
      <w:sdtContent>
        <w:p w:rsidR="002050EF" w:rsidRPr="0081282E" w:rsidRDefault="002050EF">
          <w:pPr>
            <w:pStyle w:val="TOCHeading"/>
            <w:rPr>
              <w:rStyle w:val="Heading1Char"/>
            </w:rPr>
          </w:pPr>
          <w:r w:rsidRPr="0081282E">
            <w:rPr>
              <w:rStyle w:val="Heading1Char"/>
            </w:rPr>
            <w:t>Contents</w:t>
          </w:r>
        </w:p>
        <w:p w:rsidR="007B4B3B" w:rsidRDefault="008159B9">
          <w:pPr>
            <w:pStyle w:val="TOC1"/>
            <w:tabs>
              <w:tab w:val="right" w:leader="dot" w:pos="9350"/>
            </w:tabs>
            <w:rPr>
              <w:rFonts w:asciiTheme="minorHAnsi" w:eastAsiaTheme="minorEastAsia" w:hAnsiTheme="minorHAnsi" w:cstheme="minorBidi"/>
              <w:noProof/>
            </w:rPr>
          </w:pPr>
          <w:r>
            <w:fldChar w:fldCharType="begin"/>
          </w:r>
          <w:r w:rsidR="002050EF">
            <w:instrText xml:space="preserve"> TOC \o "1-3" \h \z \u </w:instrText>
          </w:r>
          <w:r>
            <w:fldChar w:fldCharType="separate"/>
          </w:r>
          <w:hyperlink w:anchor="_Toc292629338" w:history="1">
            <w:r w:rsidR="007B4B3B" w:rsidRPr="005034C0">
              <w:rPr>
                <w:rStyle w:val="Hyperlink"/>
                <w:rFonts w:eastAsia="Times New Roman"/>
                <w:noProof/>
              </w:rPr>
              <w:t>1.0 Abstract</w:t>
            </w:r>
            <w:r w:rsidR="007B4B3B">
              <w:rPr>
                <w:noProof/>
                <w:webHidden/>
              </w:rPr>
              <w:tab/>
            </w:r>
            <w:r w:rsidR="007B4B3B">
              <w:rPr>
                <w:noProof/>
                <w:webHidden/>
              </w:rPr>
              <w:fldChar w:fldCharType="begin"/>
            </w:r>
            <w:r w:rsidR="007B4B3B">
              <w:rPr>
                <w:noProof/>
                <w:webHidden/>
              </w:rPr>
              <w:instrText xml:space="preserve"> PAGEREF _Toc292629338 \h </w:instrText>
            </w:r>
            <w:r w:rsidR="007B4B3B">
              <w:rPr>
                <w:noProof/>
                <w:webHidden/>
              </w:rPr>
            </w:r>
            <w:r w:rsidR="007B4B3B">
              <w:rPr>
                <w:noProof/>
                <w:webHidden/>
              </w:rPr>
              <w:fldChar w:fldCharType="separate"/>
            </w:r>
            <w:r w:rsidR="003B6E70">
              <w:rPr>
                <w:noProof/>
                <w:webHidden/>
              </w:rPr>
              <w:t>3</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39" w:history="1">
            <w:r w:rsidR="007B4B3B" w:rsidRPr="005034C0">
              <w:rPr>
                <w:rStyle w:val="Hyperlink"/>
                <w:noProof/>
              </w:rPr>
              <w:t>2.0 Objective</w:t>
            </w:r>
            <w:r w:rsidR="007B4B3B">
              <w:rPr>
                <w:noProof/>
                <w:webHidden/>
              </w:rPr>
              <w:tab/>
            </w:r>
            <w:r w:rsidR="007B4B3B">
              <w:rPr>
                <w:noProof/>
                <w:webHidden/>
              </w:rPr>
              <w:fldChar w:fldCharType="begin"/>
            </w:r>
            <w:r w:rsidR="007B4B3B">
              <w:rPr>
                <w:noProof/>
                <w:webHidden/>
              </w:rPr>
              <w:instrText xml:space="preserve"> PAGEREF _Toc292629339 \h </w:instrText>
            </w:r>
            <w:r w:rsidR="007B4B3B">
              <w:rPr>
                <w:noProof/>
                <w:webHidden/>
              </w:rPr>
            </w:r>
            <w:r w:rsidR="007B4B3B">
              <w:rPr>
                <w:noProof/>
                <w:webHidden/>
              </w:rPr>
              <w:fldChar w:fldCharType="separate"/>
            </w:r>
            <w:r w:rsidR="003B6E70">
              <w:rPr>
                <w:noProof/>
                <w:webHidden/>
              </w:rPr>
              <w:t>3</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40" w:history="1">
            <w:r w:rsidR="007B4B3B" w:rsidRPr="005034C0">
              <w:rPr>
                <w:rStyle w:val="Hyperlink"/>
                <w:noProof/>
              </w:rPr>
              <w:t>3.0 Introduction</w:t>
            </w:r>
            <w:r w:rsidR="007B4B3B">
              <w:rPr>
                <w:noProof/>
                <w:webHidden/>
              </w:rPr>
              <w:tab/>
            </w:r>
            <w:r w:rsidR="007B4B3B">
              <w:rPr>
                <w:noProof/>
                <w:webHidden/>
              </w:rPr>
              <w:fldChar w:fldCharType="begin"/>
            </w:r>
            <w:r w:rsidR="007B4B3B">
              <w:rPr>
                <w:noProof/>
                <w:webHidden/>
              </w:rPr>
              <w:instrText xml:space="preserve"> PAGEREF _Toc292629340 \h </w:instrText>
            </w:r>
            <w:r w:rsidR="007B4B3B">
              <w:rPr>
                <w:noProof/>
                <w:webHidden/>
              </w:rPr>
            </w:r>
            <w:r w:rsidR="007B4B3B">
              <w:rPr>
                <w:noProof/>
                <w:webHidden/>
              </w:rPr>
              <w:fldChar w:fldCharType="separate"/>
            </w:r>
            <w:r w:rsidR="003B6E70">
              <w:rPr>
                <w:noProof/>
                <w:webHidden/>
              </w:rPr>
              <w:t>3</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41" w:history="1">
            <w:r w:rsidR="007B4B3B" w:rsidRPr="005034C0">
              <w:rPr>
                <w:rStyle w:val="Hyperlink"/>
                <w:noProof/>
              </w:rPr>
              <w:t>4.0 Methods and Procedures</w:t>
            </w:r>
            <w:r w:rsidR="007B4B3B">
              <w:rPr>
                <w:noProof/>
                <w:webHidden/>
              </w:rPr>
              <w:tab/>
            </w:r>
            <w:r w:rsidR="007B4B3B">
              <w:rPr>
                <w:noProof/>
                <w:webHidden/>
              </w:rPr>
              <w:fldChar w:fldCharType="begin"/>
            </w:r>
            <w:r w:rsidR="007B4B3B">
              <w:rPr>
                <w:noProof/>
                <w:webHidden/>
              </w:rPr>
              <w:instrText xml:space="preserve"> PAGEREF _Toc292629341 \h </w:instrText>
            </w:r>
            <w:r w:rsidR="007B4B3B">
              <w:rPr>
                <w:noProof/>
                <w:webHidden/>
              </w:rPr>
            </w:r>
            <w:r w:rsidR="007B4B3B">
              <w:rPr>
                <w:noProof/>
                <w:webHidden/>
              </w:rPr>
              <w:fldChar w:fldCharType="separate"/>
            </w:r>
            <w:r w:rsidR="003B6E70">
              <w:rPr>
                <w:noProof/>
                <w:webHidden/>
              </w:rPr>
              <w:t>6</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2" w:history="1">
            <w:r w:rsidR="007B4B3B" w:rsidRPr="005034C0">
              <w:rPr>
                <w:rStyle w:val="Hyperlink"/>
                <w:noProof/>
              </w:rPr>
              <w:t>4.1 Existing Conditions</w:t>
            </w:r>
            <w:r w:rsidR="007B4B3B">
              <w:rPr>
                <w:noProof/>
                <w:webHidden/>
              </w:rPr>
              <w:tab/>
            </w:r>
            <w:r w:rsidR="007B4B3B">
              <w:rPr>
                <w:noProof/>
                <w:webHidden/>
              </w:rPr>
              <w:fldChar w:fldCharType="begin"/>
            </w:r>
            <w:r w:rsidR="007B4B3B">
              <w:rPr>
                <w:noProof/>
                <w:webHidden/>
              </w:rPr>
              <w:instrText xml:space="preserve"> PAGEREF _Toc292629342 \h </w:instrText>
            </w:r>
            <w:r w:rsidR="007B4B3B">
              <w:rPr>
                <w:noProof/>
                <w:webHidden/>
              </w:rPr>
            </w:r>
            <w:r w:rsidR="007B4B3B">
              <w:rPr>
                <w:noProof/>
                <w:webHidden/>
              </w:rPr>
              <w:fldChar w:fldCharType="separate"/>
            </w:r>
            <w:r w:rsidR="003B6E70">
              <w:rPr>
                <w:noProof/>
                <w:webHidden/>
              </w:rPr>
              <w:t>7</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3" w:history="1">
            <w:r w:rsidR="007B4B3B" w:rsidRPr="005034C0">
              <w:rPr>
                <w:rStyle w:val="Hyperlink"/>
                <w:noProof/>
              </w:rPr>
              <w:t>4.2 Build Conditions</w:t>
            </w:r>
            <w:r w:rsidR="007B4B3B">
              <w:rPr>
                <w:noProof/>
                <w:webHidden/>
              </w:rPr>
              <w:tab/>
            </w:r>
            <w:r w:rsidR="007B4B3B">
              <w:rPr>
                <w:noProof/>
                <w:webHidden/>
              </w:rPr>
              <w:fldChar w:fldCharType="begin"/>
            </w:r>
            <w:r w:rsidR="007B4B3B">
              <w:rPr>
                <w:noProof/>
                <w:webHidden/>
              </w:rPr>
              <w:instrText xml:space="preserve"> PAGEREF _Toc292629343 \h </w:instrText>
            </w:r>
            <w:r w:rsidR="007B4B3B">
              <w:rPr>
                <w:noProof/>
                <w:webHidden/>
              </w:rPr>
            </w:r>
            <w:r w:rsidR="007B4B3B">
              <w:rPr>
                <w:noProof/>
                <w:webHidden/>
              </w:rPr>
              <w:fldChar w:fldCharType="separate"/>
            </w:r>
            <w:r w:rsidR="003B6E70">
              <w:rPr>
                <w:noProof/>
                <w:webHidden/>
              </w:rPr>
              <w:t>8</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4" w:history="1">
            <w:r w:rsidR="007B4B3B" w:rsidRPr="005034C0">
              <w:rPr>
                <w:rStyle w:val="Hyperlink"/>
                <w:noProof/>
              </w:rPr>
              <w:t>4.3 Determining Impact Significance</w:t>
            </w:r>
            <w:r w:rsidR="007B4B3B">
              <w:rPr>
                <w:noProof/>
                <w:webHidden/>
              </w:rPr>
              <w:tab/>
            </w:r>
            <w:r w:rsidR="007B4B3B">
              <w:rPr>
                <w:noProof/>
                <w:webHidden/>
              </w:rPr>
              <w:fldChar w:fldCharType="begin"/>
            </w:r>
            <w:r w:rsidR="007B4B3B">
              <w:rPr>
                <w:noProof/>
                <w:webHidden/>
              </w:rPr>
              <w:instrText xml:space="preserve"> PAGEREF _Toc292629344 \h </w:instrText>
            </w:r>
            <w:r w:rsidR="007B4B3B">
              <w:rPr>
                <w:noProof/>
                <w:webHidden/>
              </w:rPr>
            </w:r>
            <w:r w:rsidR="007B4B3B">
              <w:rPr>
                <w:noProof/>
                <w:webHidden/>
              </w:rPr>
              <w:fldChar w:fldCharType="separate"/>
            </w:r>
            <w:r w:rsidR="003B6E70">
              <w:rPr>
                <w:noProof/>
                <w:webHidden/>
              </w:rPr>
              <w:t>9</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45" w:history="1">
            <w:r w:rsidR="007B4B3B" w:rsidRPr="005034C0">
              <w:rPr>
                <w:rStyle w:val="Hyperlink"/>
                <w:noProof/>
              </w:rPr>
              <w:t>5.0 Results and Discussion:</w:t>
            </w:r>
            <w:r w:rsidR="007B4B3B">
              <w:rPr>
                <w:noProof/>
                <w:webHidden/>
              </w:rPr>
              <w:tab/>
            </w:r>
            <w:r w:rsidR="007B4B3B">
              <w:rPr>
                <w:noProof/>
                <w:webHidden/>
              </w:rPr>
              <w:fldChar w:fldCharType="begin"/>
            </w:r>
            <w:r w:rsidR="007B4B3B">
              <w:rPr>
                <w:noProof/>
                <w:webHidden/>
              </w:rPr>
              <w:instrText xml:space="preserve"> PAGEREF _Toc292629345 \h </w:instrText>
            </w:r>
            <w:r w:rsidR="007B4B3B">
              <w:rPr>
                <w:noProof/>
                <w:webHidden/>
              </w:rPr>
            </w:r>
            <w:r w:rsidR="007B4B3B">
              <w:rPr>
                <w:noProof/>
                <w:webHidden/>
              </w:rPr>
              <w:fldChar w:fldCharType="separate"/>
            </w:r>
            <w:r w:rsidR="003B6E70">
              <w:rPr>
                <w:noProof/>
                <w:webHidden/>
              </w:rPr>
              <w:t>11</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6" w:history="1">
            <w:r w:rsidR="007B4B3B" w:rsidRPr="005034C0">
              <w:rPr>
                <w:rStyle w:val="Hyperlink"/>
                <w:noProof/>
              </w:rPr>
              <w:t>5.1 Existing Conditions</w:t>
            </w:r>
            <w:r w:rsidR="007B4B3B">
              <w:rPr>
                <w:noProof/>
                <w:webHidden/>
              </w:rPr>
              <w:tab/>
            </w:r>
            <w:r w:rsidR="007B4B3B">
              <w:rPr>
                <w:noProof/>
                <w:webHidden/>
              </w:rPr>
              <w:fldChar w:fldCharType="begin"/>
            </w:r>
            <w:r w:rsidR="007B4B3B">
              <w:rPr>
                <w:noProof/>
                <w:webHidden/>
              </w:rPr>
              <w:instrText xml:space="preserve"> PAGEREF _Toc292629346 \h </w:instrText>
            </w:r>
            <w:r w:rsidR="007B4B3B">
              <w:rPr>
                <w:noProof/>
                <w:webHidden/>
              </w:rPr>
            </w:r>
            <w:r w:rsidR="007B4B3B">
              <w:rPr>
                <w:noProof/>
                <w:webHidden/>
              </w:rPr>
              <w:fldChar w:fldCharType="separate"/>
            </w:r>
            <w:r w:rsidR="003B6E70">
              <w:rPr>
                <w:noProof/>
                <w:webHidden/>
              </w:rPr>
              <w:t>11</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7" w:history="1">
            <w:r w:rsidR="007B4B3B" w:rsidRPr="005034C0">
              <w:rPr>
                <w:rStyle w:val="Hyperlink"/>
                <w:noProof/>
              </w:rPr>
              <w:t>5.2 Build Conditions</w:t>
            </w:r>
            <w:r w:rsidR="007B4B3B">
              <w:rPr>
                <w:noProof/>
                <w:webHidden/>
              </w:rPr>
              <w:tab/>
            </w:r>
            <w:r w:rsidR="007B4B3B">
              <w:rPr>
                <w:noProof/>
                <w:webHidden/>
              </w:rPr>
              <w:fldChar w:fldCharType="begin"/>
            </w:r>
            <w:r w:rsidR="007B4B3B">
              <w:rPr>
                <w:noProof/>
                <w:webHidden/>
              </w:rPr>
              <w:instrText xml:space="preserve"> PAGEREF _Toc292629347 \h </w:instrText>
            </w:r>
            <w:r w:rsidR="007B4B3B">
              <w:rPr>
                <w:noProof/>
                <w:webHidden/>
              </w:rPr>
            </w:r>
            <w:r w:rsidR="007B4B3B">
              <w:rPr>
                <w:noProof/>
                <w:webHidden/>
              </w:rPr>
              <w:fldChar w:fldCharType="separate"/>
            </w:r>
            <w:r w:rsidR="003B6E70">
              <w:rPr>
                <w:noProof/>
                <w:webHidden/>
              </w:rPr>
              <w:t>13</w:t>
            </w:r>
            <w:r w:rsidR="007B4B3B">
              <w:rPr>
                <w:noProof/>
                <w:webHidden/>
              </w:rPr>
              <w:fldChar w:fldCharType="end"/>
            </w:r>
          </w:hyperlink>
        </w:p>
        <w:p w:rsidR="007B4B3B" w:rsidRDefault="004F0349">
          <w:pPr>
            <w:pStyle w:val="TOC2"/>
            <w:tabs>
              <w:tab w:val="right" w:leader="dot" w:pos="9350"/>
            </w:tabs>
            <w:rPr>
              <w:rFonts w:asciiTheme="minorHAnsi" w:eastAsiaTheme="minorEastAsia" w:hAnsiTheme="minorHAnsi" w:cstheme="minorBidi"/>
              <w:noProof/>
            </w:rPr>
          </w:pPr>
          <w:hyperlink w:anchor="_Toc292629348" w:history="1">
            <w:r w:rsidR="007B4B3B" w:rsidRPr="005034C0">
              <w:rPr>
                <w:rStyle w:val="Hyperlink"/>
                <w:noProof/>
              </w:rPr>
              <w:t>5.3 Impact Significance</w:t>
            </w:r>
            <w:r w:rsidR="007B4B3B">
              <w:rPr>
                <w:noProof/>
                <w:webHidden/>
              </w:rPr>
              <w:tab/>
            </w:r>
            <w:r w:rsidR="007B4B3B">
              <w:rPr>
                <w:noProof/>
                <w:webHidden/>
              </w:rPr>
              <w:fldChar w:fldCharType="begin"/>
            </w:r>
            <w:r w:rsidR="007B4B3B">
              <w:rPr>
                <w:noProof/>
                <w:webHidden/>
              </w:rPr>
              <w:instrText xml:space="preserve"> PAGEREF _Toc292629348 \h </w:instrText>
            </w:r>
            <w:r w:rsidR="007B4B3B">
              <w:rPr>
                <w:noProof/>
                <w:webHidden/>
              </w:rPr>
            </w:r>
            <w:r w:rsidR="007B4B3B">
              <w:rPr>
                <w:noProof/>
                <w:webHidden/>
              </w:rPr>
              <w:fldChar w:fldCharType="separate"/>
            </w:r>
            <w:r w:rsidR="003B6E70">
              <w:rPr>
                <w:noProof/>
                <w:webHidden/>
              </w:rPr>
              <w:t>16</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49" w:history="1">
            <w:r w:rsidR="007B4B3B" w:rsidRPr="005034C0">
              <w:rPr>
                <w:rStyle w:val="Hyperlink"/>
                <w:noProof/>
              </w:rPr>
              <w:t>6.0 Conclusion</w:t>
            </w:r>
            <w:r w:rsidR="007B4B3B">
              <w:rPr>
                <w:noProof/>
                <w:webHidden/>
              </w:rPr>
              <w:tab/>
            </w:r>
            <w:r w:rsidR="007B4B3B">
              <w:rPr>
                <w:noProof/>
                <w:webHidden/>
              </w:rPr>
              <w:fldChar w:fldCharType="begin"/>
            </w:r>
            <w:r w:rsidR="007B4B3B">
              <w:rPr>
                <w:noProof/>
                <w:webHidden/>
              </w:rPr>
              <w:instrText xml:space="preserve"> PAGEREF _Toc292629349 \h </w:instrText>
            </w:r>
            <w:r w:rsidR="007B4B3B">
              <w:rPr>
                <w:noProof/>
                <w:webHidden/>
              </w:rPr>
            </w:r>
            <w:r w:rsidR="007B4B3B">
              <w:rPr>
                <w:noProof/>
                <w:webHidden/>
              </w:rPr>
              <w:fldChar w:fldCharType="separate"/>
            </w:r>
            <w:r w:rsidR="003B6E70">
              <w:rPr>
                <w:noProof/>
                <w:webHidden/>
              </w:rPr>
              <w:t>19</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50" w:history="1">
            <w:r w:rsidR="007B4B3B" w:rsidRPr="005034C0">
              <w:rPr>
                <w:rStyle w:val="Hyperlink"/>
                <w:noProof/>
              </w:rPr>
              <w:t>Reference</w:t>
            </w:r>
            <w:r w:rsidR="007B4B3B">
              <w:rPr>
                <w:noProof/>
                <w:webHidden/>
              </w:rPr>
              <w:tab/>
            </w:r>
            <w:r w:rsidR="007B4B3B">
              <w:rPr>
                <w:noProof/>
                <w:webHidden/>
              </w:rPr>
              <w:fldChar w:fldCharType="begin"/>
            </w:r>
            <w:r w:rsidR="007B4B3B">
              <w:rPr>
                <w:noProof/>
                <w:webHidden/>
              </w:rPr>
              <w:instrText xml:space="preserve"> PAGEREF _Toc292629350 \h </w:instrText>
            </w:r>
            <w:r w:rsidR="007B4B3B">
              <w:rPr>
                <w:noProof/>
                <w:webHidden/>
              </w:rPr>
            </w:r>
            <w:r w:rsidR="007B4B3B">
              <w:rPr>
                <w:noProof/>
                <w:webHidden/>
              </w:rPr>
              <w:fldChar w:fldCharType="separate"/>
            </w:r>
            <w:r w:rsidR="003B6E70">
              <w:rPr>
                <w:noProof/>
                <w:webHidden/>
              </w:rPr>
              <w:t>21</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51" w:history="1">
            <w:r w:rsidR="007B4B3B" w:rsidRPr="005034C0">
              <w:rPr>
                <w:rStyle w:val="Hyperlink"/>
                <w:noProof/>
              </w:rPr>
              <w:t>Appendix A: Commercial solid waste generation data, business survey</w:t>
            </w:r>
            <w:r w:rsidR="007B4B3B">
              <w:rPr>
                <w:noProof/>
                <w:webHidden/>
              </w:rPr>
              <w:tab/>
            </w:r>
            <w:r w:rsidR="007B4B3B">
              <w:rPr>
                <w:noProof/>
                <w:webHidden/>
              </w:rPr>
              <w:fldChar w:fldCharType="begin"/>
            </w:r>
            <w:r w:rsidR="007B4B3B">
              <w:rPr>
                <w:noProof/>
                <w:webHidden/>
              </w:rPr>
              <w:instrText xml:space="preserve"> PAGEREF _Toc292629351 \h </w:instrText>
            </w:r>
            <w:r w:rsidR="007B4B3B">
              <w:rPr>
                <w:noProof/>
                <w:webHidden/>
              </w:rPr>
            </w:r>
            <w:r w:rsidR="007B4B3B">
              <w:rPr>
                <w:noProof/>
                <w:webHidden/>
              </w:rPr>
              <w:fldChar w:fldCharType="separate"/>
            </w:r>
            <w:r w:rsidR="003B6E70">
              <w:rPr>
                <w:noProof/>
                <w:webHidden/>
              </w:rPr>
              <w:t>22</w:t>
            </w:r>
            <w:r w:rsidR="007B4B3B">
              <w:rPr>
                <w:noProof/>
                <w:webHidden/>
              </w:rPr>
              <w:fldChar w:fldCharType="end"/>
            </w:r>
          </w:hyperlink>
        </w:p>
        <w:p w:rsidR="007B4B3B" w:rsidRDefault="004F0349">
          <w:pPr>
            <w:pStyle w:val="TOC1"/>
            <w:tabs>
              <w:tab w:val="right" w:leader="dot" w:pos="9350"/>
            </w:tabs>
            <w:rPr>
              <w:rFonts w:asciiTheme="minorHAnsi" w:eastAsiaTheme="minorEastAsia" w:hAnsiTheme="minorHAnsi" w:cstheme="minorBidi"/>
              <w:noProof/>
            </w:rPr>
          </w:pPr>
          <w:hyperlink w:anchor="_Toc292629352" w:history="1">
            <w:r w:rsidR="007B4B3B" w:rsidRPr="005034C0">
              <w:rPr>
                <w:rStyle w:val="Hyperlink"/>
                <w:noProof/>
              </w:rPr>
              <w:t>Appendix B: Solid Waste Group meeting minutes</w:t>
            </w:r>
            <w:r w:rsidR="007B4B3B">
              <w:rPr>
                <w:noProof/>
                <w:webHidden/>
              </w:rPr>
              <w:tab/>
            </w:r>
            <w:r w:rsidR="007B4B3B">
              <w:rPr>
                <w:noProof/>
                <w:webHidden/>
              </w:rPr>
              <w:fldChar w:fldCharType="begin"/>
            </w:r>
            <w:r w:rsidR="007B4B3B">
              <w:rPr>
                <w:noProof/>
                <w:webHidden/>
              </w:rPr>
              <w:instrText xml:space="preserve"> PAGEREF _Toc292629352 \h </w:instrText>
            </w:r>
            <w:r w:rsidR="007B4B3B">
              <w:rPr>
                <w:noProof/>
                <w:webHidden/>
              </w:rPr>
            </w:r>
            <w:r w:rsidR="007B4B3B">
              <w:rPr>
                <w:noProof/>
                <w:webHidden/>
              </w:rPr>
              <w:fldChar w:fldCharType="separate"/>
            </w:r>
            <w:r w:rsidR="003B6E70">
              <w:rPr>
                <w:noProof/>
                <w:webHidden/>
              </w:rPr>
              <w:t>23</w:t>
            </w:r>
            <w:r w:rsidR="007B4B3B">
              <w:rPr>
                <w:noProof/>
                <w:webHidden/>
              </w:rPr>
              <w:fldChar w:fldCharType="end"/>
            </w:r>
          </w:hyperlink>
        </w:p>
        <w:p w:rsidR="002050EF" w:rsidRDefault="008159B9">
          <w:pPr>
            <w:rPr>
              <w:b/>
              <w:bCs/>
              <w:noProof/>
            </w:rPr>
          </w:pPr>
          <w:r>
            <w:rPr>
              <w:b/>
              <w:bCs/>
              <w:noProof/>
            </w:rPr>
            <w:fldChar w:fldCharType="end"/>
          </w:r>
        </w:p>
      </w:sdtContent>
    </w:sdt>
    <w:p w:rsidR="00CA566A" w:rsidRDefault="00CA566A">
      <w:pPr>
        <w:rPr>
          <w:sz w:val="28"/>
          <w:szCs w:val="28"/>
        </w:rPr>
      </w:pPr>
      <w:r>
        <w:rPr>
          <w:sz w:val="28"/>
          <w:szCs w:val="28"/>
        </w:rPr>
        <w:br w:type="page"/>
      </w:r>
    </w:p>
    <w:p w:rsidR="00831644" w:rsidRPr="00831644" w:rsidRDefault="00831644" w:rsidP="00831644">
      <w:pPr>
        <w:rPr>
          <w:sz w:val="28"/>
          <w:szCs w:val="28"/>
        </w:rPr>
      </w:pPr>
      <w:r w:rsidRPr="00831644">
        <w:rPr>
          <w:sz w:val="28"/>
          <w:szCs w:val="28"/>
        </w:rPr>
        <w:lastRenderedPageBreak/>
        <w:t>Figures</w:t>
      </w:r>
    </w:p>
    <w:p w:rsidR="007D6C29" w:rsidRDefault="00F20434">
      <w:pPr>
        <w:pStyle w:val="TableofFigures"/>
        <w:tabs>
          <w:tab w:val="right" w:leader="dot" w:pos="9350"/>
        </w:tabs>
        <w:rPr>
          <w:rFonts w:asciiTheme="minorHAnsi" w:eastAsiaTheme="minorEastAsia" w:hAnsiTheme="minorHAnsi" w:cstheme="minorBidi"/>
          <w:noProof/>
        </w:rPr>
      </w:pPr>
      <w:r>
        <w:fldChar w:fldCharType="begin"/>
      </w:r>
      <w:r>
        <w:instrText xml:space="preserve"> TOC \h \z \c "Figure" </w:instrText>
      </w:r>
      <w:r>
        <w:fldChar w:fldCharType="separate"/>
      </w:r>
      <w:hyperlink w:anchor="_Toc292580217" w:history="1">
        <w:r w:rsidR="007D6C29" w:rsidRPr="006D4D80">
          <w:rPr>
            <w:rStyle w:val="Hyperlink"/>
            <w:noProof/>
          </w:rPr>
          <w:t>Figure 1: Map of City College and proposed project area</w:t>
        </w:r>
        <w:r w:rsidR="007D6C29">
          <w:rPr>
            <w:noProof/>
            <w:webHidden/>
          </w:rPr>
          <w:tab/>
        </w:r>
        <w:r w:rsidR="007D6C29">
          <w:rPr>
            <w:noProof/>
            <w:webHidden/>
          </w:rPr>
          <w:fldChar w:fldCharType="begin"/>
        </w:r>
        <w:r w:rsidR="007D6C29">
          <w:rPr>
            <w:noProof/>
            <w:webHidden/>
          </w:rPr>
          <w:instrText xml:space="preserve"> PAGEREF _Toc292580217 \h </w:instrText>
        </w:r>
        <w:r w:rsidR="007D6C29">
          <w:rPr>
            <w:noProof/>
            <w:webHidden/>
          </w:rPr>
        </w:r>
        <w:r w:rsidR="007D6C29">
          <w:rPr>
            <w:noProof/>
            <w:webHidden/>
          </w:rPr>
          <w:fldChar w:fldCharType="separate"/>
        </w:r>
        <w:r w:rsidR="003B6E70">
          <w:rPr>
            <w:noProof/>
            <w:webHidden/>
          </w:rPr>
          <w:t>4</w:t>
        </w:r>
        <w:r w:rsidR="007D6C29">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218" w:history="1">
        <w:r w:rsidR="007D6C29" w:rsidRPr="006D4D80">
          <w:rPr>
            <w:rStyle w:val="Hyperlink"/>
            <w:noProof/>
          </w:rPr>
          <w:t>Figure 2: Distribution of CSW by business type</w:t>
        </w:r>
        <w:r w:rsidR="007D6C29">
          <w:rPr>
            <w:noProof/>
            <w:webHidden/>
          </w:rPr>
          <w:tab/>
        </w:r>
        <w:r w:rsidR="007D6C29">
          <w:rPr>
            <w:noProof/>
            <w:webHidden/>
          </w:rPr>
          <w:fldChar w:fldCharType="begin"/>
        </w:r>
        <w:r w:rsidR="007D6C29">
          <w:rPr>
            <w:noProof/>
            <w:webHidden/>
          </w:rPr>
          <w:instrText xml:space="preserve"> PAGEREF _Toc292580218 \h </w:instrText>
        </w:r>
        <w:r w:rsidR="007D6C29">
          <w:rPr>
            <w:noProof/>
            <w:webHidden/>
          </w:rPr>
        </w:r>
        <w:r w:rsidR="007D6C29">
          <w:rPr>
            <w:noProof/>
            <w:webHidden/>
          </w:rPr>
          <w:fldChar w:fldCharType="separate"/>
        </w:r>
        <w:r w:rsidR="003B6E70">
          <w:rPr>
            <w:noProof/>
            <w:webHidden/>
          </w:rPr>
          <w:t>13</w:t>
        </w:r>
        <w:r w:rsidR="007D6C29">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219" w:history="1">
        <w:r w:rsidR="007D6C29" w:rsidRPr="006D4D80">
          <w:rPr>
            <w:rStyle w:val="Hyperlink"/>
            <w:noProof/>
          </w:rPr>
          <w:t>Figure 3: Estimated MSW generated by proposed project</w:t>
        </w:r>
        <w:r w:rsidR="007D6C29">
          <w:rPr>
            <w:noProof/>
            <w:webHidden/>
          </w:rPr>
          <w:tab/>
        </w:r>
        <w:r w:rsidR="007D6C29">
          <w:rPr>
            <w:noProof/>
            <w:webHidden/>
          </w:rPr>
          <w:fldChar w:fldCharType="begin"/>
        </w:r>
        <w:r w:rsidR="007D6C29">
          <w:rPr>
            <w:noProof/>
            <w:webHidden/>
          </w:rPr>
          <w:instrText xml:space="preserve"> PAGEREF _Toc292580219 \h </w:instrText>
        </w:r>
        <w:r w:rsidR="007D6C29">
          <w:rPr>
            <w:noProof/>
            <w:webHidden/>
          </w:rPr>
        </w:r>
        <w:r w:rsidR="007D6C29">
          <w:rPr>
            <w:noProof/>
            <w:webHidden/>
          </w:rPr>
          <w:fldChar w:fldCharType="separate"/>
        </w:r>
        <w:r w:rsidR="003B6E70">
          <w:rPr>
            <w:noProof/>
            <w:webHidden/>
          </w:rPr>
          <w:t>15</w:t>
        </w:r>
        <w:r w:rsidR="007D6C29">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220" w:history="1">
        <w:r w:rsidR="007D6C29" w:rsidRPr="006D4D80">
          <w:rPr>
            <w:rStyle w:val="Hyperlink"/>
            <w:noProof/>
          </w:rPr>
          <w:t>Figure 4: Distribution of solid waste generated in existing and project conditions</w:t>
        </w:r>
        <w:r w:rsidR="007D6C29">
          <w:rPr>
            <w:noProof/>
            <w:webHidden/>
          </w:rPr>
          <w:tab/>
        </w:r>
        <w:r w:rsidR="007D6C29">
          <w:rPr>
            <w:noProof/>
            <w:webHidden/>
          </w:rPr>
          <w:fldChar w:fldCharType="begin"/>
        </w:r>
        <w:r w:rsidR="007D6C29">
          <w:rPr>
            <w:noProof/>
            <w:webHidden/>
          </w:rPr>
          <w:instrText xml:space="preserve"> PAGEREF _Toc292580220 \h </w:instrText>
        </w:r>
        <w:r w:rsidR="007D6C29">
          <w:rPr>
            <w:noProof/>
            <w:webHidden/>
          </w:rPr>
        </w:r>
        <w:r w:rsidR="007D6C29">
          <w:rPr>
            <w:noProof/>
            <w:webHidden/>
          </w:rPr>
          <w:fldChar w:fldCharType="separate"/>
        </w:r>
        <w:r w:rsidR="003B6E70">
          <w:rPr>
            <w:noProof/>
            <w:webHidden/>
          </w:rPr>
          <w:t>18</w:t>
        </w:r>
        <w:r w:rsidR="007D6C29">
          <w:rPr>
            <w:noProof/>
            <w:webHidden/>
          </w:rPr>
          <w:fldChar w:fldCharType="end"/>
        </w:r>
      </w:hyperlink>
    </w:p>
    <w:p w:rsidR="004775C9" w:rsidRDefault="00F20434" w:rsidP="004775C9">
      <w:r>
        <w:fldChar w:fldCharType="end"/>
      </w:r>
    </w:p>
    <w:p w:rsidR="00831644" w:rsidRPr="00831644" w:rsidRDefault="00831644" w:rsidP="004775C9">
      <w:pPr>
        <w:rPr>
          <w:sz w:val="28"/>
          <w:szCs w:val="28"/>
        </w:rPr>
      </w:pPr>
      <w:r w:rsidRPr="00831644">
        <w:rPr>
          <w:sz w:val="28"/>
          <w:szCs w:val="28"/>
        </w:rPr>
        <w:t>Tables</w:t>
      </w:r>
    </w:p>
    <w:p w:rsidR="007D6C29" w:rsidRDefault="007D6C29">
      <w:pPr>
        <w:pStyle w:val="TableofFigures"/>
        <w:tabs>
          <w:tab w:val="right" w:leader="dot" w:pos="9350"/>
        </w:tabs>
        <w:rPr>
          <w:rFonts w:asciiTheme="minorHAnsi" w:eastAsiaTheme="minorEastAsia" w:hAnsiTheme="minorHAnsi" w:cstheme="minorBidi"/>
          <w:noProof/>
        </w:rPr>
      </w:pPr>
      <w:r>
        <w:fldChar w:fldCharType="begin"/>
      </w:r>
      <w:r>
        <w:instrText xml:space="preserve"> TOC \h \z \c "Table" </w:instrText>
      </w:r>
      <w:r>
        <w:fldChar w:fldCharType="separate"/>
      </w:r>
      <w:hyperlink w:anchor="_Toc292580396" w:history="1">
        <w:r w:rsidRPr="00C86205">
          <w:rPr>
            <w:rStyle w:val="Hyperlink"/>
            <w:noProof/>
          </w:rPr>
          <w:t>Table 1: CEQR Table 1</w:t>
        </w:r>
        <w:r>
          <w:rPr>
            <w:rStyle w:val="Hyperlink"/>
            <w:noProof/>
          </w:rPr>
          <w:t>4-1: Solid Waste Generation Rate</w:t>
        </w:r>
        <w:r w:rsidRPr="00C86205">
          <w:rPr>
            <w:rStyle w:val="Hyperlink"/>
            <w:i/>
            <w:noProof/>
          </w:rPr>
          <w:t>.</w:t>
        </w:r>
        <w:r>
          <w:rPr>
            <w:noProof/>
            <w:webHidden/>
          </w:rPr>
          <w:tab/>
        </w:r>
        <w:r>
          <w:rPr>
            <w:noProof/>
            <w:webHidden/>
          </w:rPr>
          <w:fldChar w:fldCharType="begin"/>
        </w:r>
        <w:r>
          <w:rPr>
            <w:noProof/>
            <w:webHidden/>
          </w:rPr>
          <w:instrText xml:space="preserve"> PAGEREF _Toc292580396 \h </w:instrText>
        </w:r>
        <w:r>
          <w:rPr>
            <w:noProof/>
            <w:webHidden/>
          </w:rPr>
        </w:r>
        <w:r>
          <w:rPr>
            <w:noProof/>
            <w:webHidden/>
          </w:rPr>
          <w:fldChar w:fldCharType="separate"/>
        </w:r>
        <w:r w:rsidR="003B6E70">
          <w:rPr>
            <w:noProof/>
            <w:webHidden/>
          </w:rPr>
          <w:t>6</w:t>
        </w:r>
        <w:r>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397" w:history="1">
        <w:r w:rsidR="007D6C29" w:rsidRPr="00C86205">
          <w:rPr>
            <w:rStyle w:val="Hyperlink"/>
            <w:noProof/>
          </w:rPr>
          <w:t>Table 2: Business Survey Data for project area</w:t>
        </w:r>
        <w:r w:rsidR="007D6C29">
          <w:rPr>
            <w:noProof/>
            <w:webHidden/>
          </w:rPr>
          <w:tab/>
        </w:r>
        <w:r w:rsidR="007D6C29">
          <w:rPr>
            <w:noProof/>
            <w:webHidden/>
          </w:rPr>
          <w:fldChar w:fldCharType="begin"/>
        </w:r>
        <w:r w:rsidR="007D6C29">
          <w:rPr>
            <w:noProof/>
            <w:webHidden/>
          </w:rPr>
          <w:instrText xml:space="preserve"> PAGEREF _Toc292580397 \h </w:instrText>
        </w:r>
        <w:r w:rsidR="007D6C29">
          <w:rPr>
            <w:noProof/>
            <w:webHidden/>
          </w:rPr>
        </w:r>
        <w:r w:rsidR="007D6C29">
          <w:rPr>
            <w:noProof/>
            <w:webHidden/>
          </w:rPr>
          <w:fldChar w:fldCharType="separate"/>
        </w:r>
        <w:r w:rsidR="003B6E70">
          <w:rPr>
            <w:noProof/>
            <w:webHidden/>
          </w:rPr>
          <w:t>12</w:t>
        </w:r>
        <w:r w:rsidR="007D6C29">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398" w:history="1">
        <w:r w:rsidR="007D6C29" w:rsidRPr="00C86205">
          <w:rPr>
            <w:rStyle w:val="Hyperlink"/>
            <w:noProof/>
          </w:rPr>
          <w:t>Table 3: Estimated MSW generated by proposed project</w:t>
        </w:r>
        <w:r w:rsidR="007D6C29">
          <w:rPr>
            <w:noProof/>
            <w:webHidden/>
          </w:rPr>
          <w:tab/>
        </w:r>
        <w:r w:rsidR="007D6C29">
          <w:rPr>
            <w:noProof/>
            <w:webHidden/>
          </w:rPr>
          <w:fldChar w:fldCharType="begin"/>
        </w:r>
        <w:r w:rsidR="007D6C29">
          <w:rPr>
            <w:noProof/>
            <w:webHidden/>
          </w:rPr>
          <w:instrText xml:space="preserve"> PAGEREF _Toc292580398 \h </w:instrText>
        </w:r>
        <w:r w:rsidR="007D6C29">
          <w:rPr>
            <w:noProof/>
            <w:webHidden/>
          </w:rPr>
        </w:r>
        <w:r w:rsidR="007D6C29">
          <w:rPr>
            <w:noProof/>
            <w:webHidden/>
          </w:rPr>
          <w:fldChar w:fldCharType="separate"/>
        </w:r>
        <w:r w:rsidR="003B6E70">
          <w:rPr>
            <w:noProof/>
            <w:webHidden/>
          </w:rPr>
          <w:t>15</w:t>
        </w:r>
        <w:r w:rsidR="007D6C29">
          <w:rPr>
            <w:noProof/>
            <w:webHidden/>
          </w:rPr>
          <w:fldChar w:fldCharType="end"/>
        </w:r>
      </w:hyperlink>
    </w:p>
    <w:p w:rsidR="007D6C29" w:rsidRDefault="004F0349">
      <w:pPr>
        <w:pStyle w:val="TableofFigures"/>
        <w:tabs>
          <w:tab w:val="right" w:leader="dot" w:pos="9350"/>
        </w:tabs>
        <w:rPr>
          <w:rFonts w:asciiTheme="minorHAnsi" w:eastAsiaTheme="minorEastAsia" w:hAnsiTheme="minorHAnsi" w:cstheme="minorBidi"/>
          <w:noProof/>
        </w:rPr>
      </w:pPr>
      <w:hyperlink w:anchor="_Toc292580399" w:history="1">
        <w:r w:rsidR="007D6C29" w:rsidRPr="00C86205">
          <w:rPr>
            <w:rStyle w:val="Hyperlink"/>
            <w:noProof/>
          </w:rPr>
          <w:t>Table 4: Existing versus build condition MSW collection infrastructure impact</w:t>
        </w:r>
        <w:r w:rsidR="007D6C29">
          <w:rPr>
            <w:noProof/>
            <w:webHidden/>
          </w:rPr>
          <w:tab/>
        </w:r>
        <w:r w:rsidR="007D6C29">
          <w:rPr>
            <w:noProof/>
            <w:webHidden/>
          </w:rPr>
          <w:fldChar w:fldCharType="begin"/>
        </w:r>
        <w:r w:rsidR="007D6C29">
          <w:rPr>
            <w:noProof/>
            <w:webHidden/>
          </w:rPr>
          <w:instrText xml:space="preserve"> PAGEREF _Toc292580399 \h </w:instrText>
        </w:r>
        <w:r w:rsidR="007D6C29">
          <w:rPr>
            <w:noProof/>
            <w:webHidden/>
          </w:rPr>
        </w:r>
        <w:r w:rsidR="007D6C29">
          <w:rPr>
            <w:noProof/>
            <w:webHidden/>
          </w:rPr>
          <w:fldChar w:fldCharType="separate"/>
        </w:r>
        <w:r w:rsidR="003B6E70">
          <w:rPr>
            <w:noProof/>
            <w:webHidden/>
          </w:rPr>
          <w:t>17</w:t>
        </w:r>
        <w:r w:rsidR="007D6C29">
          <w:rPr>
            <w:noProof/>
            <w:webHidden/>
          </w:rPr>
          <w:fldChar w:fldCharType="end"/>
        </w:r>
      </w:hyperlink>
    </w:p>
    <w:p w:rsidR="004775C9" w:rsidRDefault="007D6C29" w:rsidP="004775C9">
      <w:r>
        <w:fldChar w:fldCharType="end"/>
      </w:r>
    </w:p>
    <w:p w:rsidR="00831644" w:rsidRPr="00831644" w:rsidRDefault="00831644" w:rsidP="004775C9">
      <w:pPr>
        <w:rPr>
          <w:sz w:val="28"/>
          <w:szCs w:val="28"/>
        </w:rPr>
      </w:pPr>
      <w:r w:rsidRPr="00831644">
        <w:rPr>
          <w:sz w:val="28"/>
          <w:szCs w:val="28"/>
        </w:rPr>
        <w:t>Equations</w:t>
      </w:r>
    </w:p>
    <w:p w:rsidR="00831644" w:rsidRPr="00831644" w:rsidRDefault="007D6C29">
      <w:pPr>
        <w:pStyle w:val="TableofFigures"/>
        <w:tabs>
          <w:tab w:val="left" w:pos="1540"/>
          <w:tab w:val="right" w:leader="dot" w:pos="9350"/>
        </w:tabs>
        <w:rPr>
          <w:noProof/>
          <w:color w:val="0000FF"/>
          <w:position w:val="-12"/>
          <w:u w:val="single"/>
        </w:rPr>
      </w:pPr>
      <w:r>
        <w:fldChar w:fldCharType="begin"/>
      </w:r>
      <w:r>
        <w:instrText xml:space="preserve"> TOC \h \z \c "Equation" </w:instrText>
      </w:r>
      <w:r>
        <w:fldChar w:fldCharType="separate"/>
      </w:r>
      <w:hyperlink w:anchor="_Toc292581074" w:history="1">
        <w:r w:rsidR="00831644">
          <w:rPr>
            <w:rStyle w:val="Hyperlink"/>
            <w:noProof/>
          </w:rPr>
          <w:t>Total Residential Units</w:t>
        </w:r>
        <w:r w:rsidR="00831644" w:rsidRPr="0028765A">
          <w:rPr>
            <w:rStyle w:val="Hyperlink"/>
            <w:noProof/>
          </w:rPr>
          <w:t xml:space="preserve"> </w:t>
        </w:r>
        <w:r w:rsidR="001D0A01">
          <w:rPr>
            <w:rStyle w:val="Hyperlink"/>
            <w:noProof/>
          </w:rPr>
          <w:t>……………………………………………………..</w:t>
        </w:r>
        <w:r w:rsidR="00831644" w:rsidRPr="0028765A">
          <w:rPr>
            <w:rStyle w:val="Hyperlink"/>
            <w:noProof/>
          </w:rPr>
          <w:t>[1]</w:t>
        </w:r>
        <w:r w:rsidR="00831644">
          <w:rPr>
            <w:noProof/>
            <w:webHidden/>
          </w:rPr>
          <w:tab/>
        </w:r>
        <w:r w:rsidR="00831644">
          <w:rPr>
            <w:noProof/>
            <w:webHidden/>
          </w:rPr>
          <w:fldChar w:fldCharType="begin"/>
        </w:r>
        <w:r w:rsidR="00831644">
          <w:rPr>
            <w:noProof/>
            <w:webHidden/>
          </w:rPr>
          <w:instrText xml:space="preserve"> PAGEREF _Toc292581074 \h </w:instrText>
        </w:r>
        <w:r w:rsidR="00831644">
          <w:rPr>
            <w:noProof/>
            <w:webHidden/>
          </w:rPr>
        </w:r>
        <w:r w:rsidR="00831644">
          <w:rPr>
            <w:noProof/>
            <w:webHidden/>
          </w:rPr>
          <w:fldChar w:fldCharType="separate"/>
        </w:r>
        <w:r w:rsidR="003B6E70">
          <w:rPr>
            <w:noProof/>
            <w:webHidden/>
          </w:rPr>
          <w:t>7</w:t>
        </w:r>
        <w:r w:rsidR="00831644">
          <w:rPr>
            <w:noProof/>
            <w:webHidden/>
          </w:rPr>
          <w:fldChar w:fldCharType="end"/>
        </w:r>
      </w:hyperlink>
    </w:p>
    <w:p w:rsidR="00831644" w:rsidRDefault="004F0349">
      <w:pPr>
        <w:pStyle w:val="TableofFigures"/>
        <w:tabs>
          <w:tab w:val="left" w:pos="2980"/>
          <w:tab w:val="right" w:leader="dot" w:pos="9350"/>
        </w:tabs>
        <w:rPr>
          <w:rFonts w:asciiTheme="minorHAnsi" w:eastAsiaTheme="minorEastAsia" w:hAnsiTheme="minorHAnsi" w:cstheme="minorBidi"/>
          <w:noProof/>
        </w:rPr>
      </w:pPr>
      <w:hyperlink w:anchor="_Toc292581075" w:history="1">
        <w:r w:rsidR="00831644">
          <w:rPr>
            <w:rStyle w:val="Hyperlink"/>
            <w:noProof/>
          </w:rPr>
          <w:t>Existing Residential MSW</w:t>
        </w:r>
        <w:r w:rsidR="00831644" w:rsidRPr="0028765A">
          <w:rPr>
            <w:rStyle w:val="Hyperlink"/>
            <w:noProof/>
          </w:rPr>
          <w:t xml:space="preserve">  </w:t>
        </w:r>
        <w:r w:rsidR="001D0A01">
          <w:rPr>
            <w:rStyle w:val="Hyperlink"/>
            <w:noProof/>
          </w:rPr>
          <w:t>………………………………………………..</w:t>
        </w:r>
        <w:r w:rsidR="00831644" w:rsidRPr="0028765A">
          <w:rPr>
            <w:rStyle w:val="Hyperlink"/>
            <w:noProof/>
          </w:rPr>
          <w:t>[2]</w:t>
        </w:r>
        <w:r w:rsidR="00831644">
          <w:rPr>
            <w:noProof/>
            <w:webHidden/>
          </w:rPr>
          <w:tab/>
        </w:r>
        <w:r w:rsidR="00831644">
          <w:rPr>
            <w:noProof/>
            <w:webHidden/>
          </w:rPr>
          <w:fldChar w:fldCharType="begin"/>
        </w:r>
        <w:r w:rsidR="00831644">
          <w:rPr>
            <w:noProof/>
            <w:webHidden/>
          </w:rPr>
          <w:instrText xml:space="preserve"> PAGEREF _Toc292581075 \h </w:instrText>
        </w:r>
        <w:r w:rsidR="00831644">
          <w:rPr>
            <w:noProof/>
            <w:webHidden/>
          </w:rPr>
        </w:r>
        <w:r w:rsidR="00831644">
          <w:rPr>
            <w:noProof/>
            <w:webHidden/>
          </w:rPr>
          <w:fldChar w:fldCharType="separate"/>
        </w:r>
        <w:r w:rsidR="003B6E70">
          <w:rPr>
            <w:noProof/>
            <w:webHidden/>
          </w:rPr>
          <w:t>7</w:t>
        </w:r>
        <w:r w:rsidR="00831644">
          <w:rPr>
            <w:noProof/>
            <w:webHidden/>
          </w:rPr>
          <w:fldChar w:fldCharType="end"/>
        </w:r>
      </w:hyperlink>
    </w:p>
    <w:p w:rsidR="00831644" w:rsidRDefault="004F0349">
      <w:pPr>
        <w:pStyle w:val="TableofFigures"/>
        <w:tabs>
          <w:tab w:val="left" w:pos="3433"/>
          <w:tab w:val="right" w:leader="dot" w:pos="9350"/>
        </w:tabs>
        <w:rPr>
          <w:rFonts w:asciiTheme="minorHAnsi" w:eastAsiaTheme="minorEastAsia" w:hAnsiTheme="minorHAnsi" w:cstheme="minorBidi"/>
          <w:noProof/>
        </w:rPr>
      </w:pPr>
      <w:hyperlink w:anchor="_Toc292581076" w:history="1">
        <w:r w:rsidR="00831644" w:rsidRPr="00831644">
          <w:rPr>
            <w:rFonts w:eastAsiaTheme="minorEastAsia" w:cstheme="minorBidi"/>
            <w:noProof/>
          </w:rPr>
          <w:t>Existing CSW</w:t>
        </w:r>
        <w:r w:rsidR="00CA566A">
          <w:rPr>
            <w:rFonts w:eastAsiaTheme="minorEastAsia" w:cstheme="minorBidi"/>
            <w:noProof/>
          </w:rPr>
          <w:t xml:space="preserve">    </w:t>
        </w:r>
        <w:r w:rsidR="001D0A01">
          <w:rPr>
            <w:rFonts w:eastAsiaTheme="minorEastAsia" w:cstheme="minorBidi"/>
            <w:noProof/>
          </w:rPr>
          <w:t>…………………………………………………………………</w:t>
        </w:r>
        <w:r w:rsidR="00CA566A">
          <w:rPr>
            <w:rFonts w:eastAsiaTheme="minorEastAsia" w:cstheme="minorBidi"/>
            <w:noProof/>
          </w:rPr>
          <w:t>[3]</w:t>
        </w:r>
        <w:r w:rsidR="00831644">
          <w:rPr>
            <w:noProof/>
            <w:webHidden/>
          </w:rPr>
          <w:tab/>
        </w:r>
        <w:r w:rsidR="00831644">
          <w:rPr>
            <w:noProof/>
            <w:webHidden/>
          </w:rPr>
          <w:fldChar w:fldCharType="begin"/>
        </w:r>
        <w:r w:rsidR="00831644">
          <w:rPr>
            <w:noProof/>
            <w:webHidden/>
          </w:rPr>
          <w:instrText xml:space="preserve"> PAGEREF _Toc292581076 \h </w:instrText>
        </w:r>
        <w:r w:rsidR="00831644">
          <w:rPr>
            <w:noProof/>
            <w:webHidden/>
          </w:rPr>
        </w:r>
        <w:r w:rsidR="00831644">
          <w:rPr>
            <w:noProof/>
            <w:webHidden/>
          </w:rPr>
          <w:fldChar w:fldCharType="separate"/>
        </w:r>
        <w:r w:rsidR="003B6E70">
          <w:rPr>
            <w:noProof/>
            <w:webHidden/>
          </w:rPr>
          <w:t>8</w:t>
        </w:r>
        <w:r w:rsidR="00831644">
          <w:rPr>
            <w:noProof/>
            <w:webHidden/>
          </w:rPr>
          <w:fldChar w:fldCharType="end"/>
        </w:r>
      </w:hyperlink>
    </w:p>
    <w:p w:rsidR="00831644" w:rsidRDefault="004F0349">
      <w:pPr>
        <w:pStyle w:val="TableofFigures"/>
        <w:tabs>
          <w:tab w:val="left" w:pos="2680"/>
          <w:tab w:val="right" w:leader="dot" w:pos="9350"/>
        </w:tabs>
        <w:rPr>
          <w:rFonts w:asciiTheme="minorHAnsi" w:eastAsiaTheme="minorEastAsia" w:hAnsiTheme="minorHAnsi" w:cstheme="minorBidi"/>
          <w:noProof/>
        </w:rPr>
      </w:pPr>
      <w:hyperlink w:anchor="_Toc292581077" w:history="1">
        <w:r w:rsidR="00CA566A">
          <w:rPr>
            <w:rStyle w:val="Hyperlink"/>
            <w:noProof/>
          </w:rPr>
          <w:t>Total Existing MSW</w:t>
        </w:r>
        <w:r w:rsidR="00831644" w:rsidRPr="0028765A">
          <w:rPr>
            <w:rStyle w:val="Hyperlink"/>
            <w:noProof/>
          </w:rPr>
          <w:t xml:space="preserve">  </w:t>
        </w:r>
        <w:r w:rsidR="001D0A01">
          <w:rPr>
            <w:rStyle w:val="Hyperlink"/>
            <w:noProof/>
          </w:rPr>
          <w:t>………......................................................................</w:t>
        </w:r>
        <w:r w:rsidR="00831644" w:rsidRPr="0028765A">
          <w:rPr>
            <w:rStyle w:val="Hyperlink"/>
            <w:noProof/>
          </w:rPr>
          <w:t>[4]</w:t>
        </w:r>
        <w:r w:rsidR="00831644">
          <w:rPr>
            <w:noProof/>
            <w:webHidden/>
          </w:rPr>
          <w:tab/>
        </w:r>
        <w:r w:rsidR="00831644">
          <w:rPr>
            <w:noProof/>
            <w:webHidden/>
          </w:rPr>
          <w:fldChar w:fldCharType="begin"/>
        </w:r>
        <w:r w:rsidR="00831644">
          <w:rPr>
            <w:noProof/>
            <w:webHidden/>
          </w:rPr>
          <w:instrText xml:space="preserve"> PAGEREF _Toc292581077 \h </w:instrText>
        </w:r>
        <w:r w:rsidR="00831644">
          <w:rPr>
            <w:noProof/>
            <w:webHidden/>
          </w:rPr>
        </w:r>
        <w:r w:rsidR="00831644">
          <w:rPr>
            <w:noProof/>
            <w:webHidden/>
          </w:rPr>
          <w:fldChar w:fldCharType="separate"/>
        </w:r>
        <w:r w:rsidR="003B6E70">
          <w:rPr>
            <w:noProof/>
            <w:webHidden/>
          </w:rPr>
          <w:t>8</w:t>
        </w:r>
        <w:r w:rsidR="00831644">
          <w:rPr>
            <w:noProof/>
            <w:webHidden/>
          </w:rPr>
          <w:fldChar w:fldCharType="end"/>
        </w:r>
      </w:hyperlink>
    </w:p>
    <w:p w:rsidR="00831644" w:rsidRPr="00CA566A" w:rsidRDefault="004F0349">
      <w:pPr>
        <w:pStyle w:val="TableofFigures"/>
        <w:tabs>
          <w:tab w:val="left" w:pos="3146"/>
          <w:tab w:val="right" w:leader="dot" w:pos="9350"/>
        </w:tabs>
        <w:rPr>
          <w:rFonts w:eastAsiaTheme="minorEastAsia" w:cstheme="minorBidi"/>
          <w:noProof/>
        </w:rPr>
      </w:pPr>
      <w:hyperlink w:anchor="_Toc292581078" w:history="1">
        <w:r w:rsidR="00CA566A" w:rsidRPr="00CA566A">
          <w:rPr>
            <w:rFonts w:eastAsiaTheme="minorEastAsia" w:cstheme="minorBidi"/>
            <w:noProof/>
          </w:rPr>
          <w:t>Estimated Project Residential MSW</w:t>
        </w:r>
        <w:r w:rsidR="00CA566A">
          <w:rPr>
            <w:rFonts w:eastAsiaTheme="minorEastAsia" w:cstheme="minorBidi"/>
            <w:noProof/>
          </w:rPr>
          <w:t xml:space="preserve"> </w:t>
        </w:r>
        <w:r w:rsidR="001D0A01">
          <w:rPr>
            <w:rFonts w:eastAsiaTheme="minorEastAsia" w:cstheme="minorBidi"/>
            <w:noProof/>
          </w:rPr>
          <w:t>…………………………………..</w:t>
        </w:r>
        <w:r w:rsidR="00CA566A" w:rsidRPr="00CA566A">
          <w:rPr>
            <w:rFonts w:eastAsiaTheme="minorEastAsia" w:cstheme="minorBidi"/>
            <w:noProof/>
          </w:rPr>
          <w:t>[5]</w:t>
        </w:r>
        <w:r w:rsidR="00831644" w:rsidRPr="00CA566A">
          <w:rPr>
            <w:noProof/>
            <w:webHidden/>
          </w:rPr>
          <w:tab/>
        </w:r>
        <w:r w:rsidR="00831644" w:rsidRPr="00CA566A">
          <w:rPr>
            <w:noProof/>
            <w:webHidden/>
          </w:rPr>
          <w:fldChar w:fldCharType="begin"/>
        </w:r>
        <w:r w:rsidR="00831644" w:rsidRPr="00CA566A">
          <w:rPr>
            <w:noProof/>
            <w:webHidden/>
          </w:rPr>
          <w:instrText xml:space="preserve"> PAGEREF _Toc292581078 \h </w:instrText>
        </w:r>
        <w:r w:rsidR="00831644" w:rsidRPr="00CA566A">
          <w:rPr>
            <w:noProof/>
            <w:webHidden/>
          </w:rPr>
        </w:r>
        <w:r w:rsidR="00831644" w:rsidRPr="00CA566A">
          <w:rPr>
            <w:noProof/>
            <w:webHidden/>
          </w:rPr>
          <w:fldChar w:fldCharType="separate"/>
        </w:r>
        <w:r w:rsidR="003B6E70">
          <w:rPr>
            <w:noProof/>
            <w:webHidden/>
          </w:rPr>
          <w:t>8</w:t>
        </w:r>
        <w:r w:rsidR="00831644" w:rsidRPr="00CA566A">
          <w:rPr>
            <w:noProof/>
            <w:webHidden/>
          </w:rPr>
          <w:fldChar w:fldCharType="end"/>
        </w:r>
      </w:hyperlink>
    </w:p>
    <w:p w:rsidR="00831644" w:rsidRDefault="004F0349">
      <w:pPr>
        <w:pStyle w:val="TableofFigures"/>
        <w:tabs>
          <w:tab w:val="left" w:pos="3294"/>
          <w:tab w:val="right" w:leader="dot" w:pos="9350"/>
        </w:tabs>
        <w:rPr>
          <w:rFonts w:asciiTheme="minorHAnsi" w:eastAsiaTheme="minorEastAsia" w:hAnsiTheme="minorHAnsi" w:cstheme="minorBidi"/>
          <w:noProof/>
        </w:rPr>
      </w:pPr>
      <w:hyperlink w:anchor="_Toc292581079" w:history="1">
        <w:r w:rsidR="00CA566A">
          <w:rPr>
            <w:rStyle w:val="Hyperlink"/>
            <w:noProof/>
          </w:rPr>
          <w:t>Estimate A Project Academic MSW</w:t>
        </w:r>
        <w:r w:rsidR="00831644" w:rsidRPr="0028765A">
          <w:rPr>
            <w:rStyle w:val="Hyperlink"/>
            <w:noProof/>
          </w:rPr>
          <w:t xml:space="preserve"> </w:t>
        </w:r>
        <w:r w:rsidR="001D0A01">
          <w:rPr>
            <w:rStyle w:val="Hyperlink"/>
            <w:noProof/>
          </w:rPr>
          <w:t>……………………………………</w:t>
        </w:r>
        <w:r w:rsidR="00831644" w:rsidRPr="0028765A">
          <w:rPr>
            <w:rStyle w:val="Hyperlink"/>
            <w:noProof/>
          </w:rPr>
          <w:t>[6]</w:t>
        </w:r>
        <w:r w:rsidR="00831644">
          <w:rPr>
            <w:noProof/>
            <w:webHidden/>
          </w:rPr>
          <w:tab/>
        </w:r>
        <w:r w:rsidR="00831644">
          <w:rPr>
            <w:noProof/>
            <w:webHidden/>
          </w:rPr>
          <w:fldChar w:fldCharType="begin"/>
        </w:r>
        <w:r w:rsidR="00831644">
          <w:rPr>
            <w:noProof/>
            <w:webHidden/>
          </w:rPr>
          <w:instrText xml:space="preserve"> PAGEREF _Toc292581079 \h </w:instrText>
        </w:r>
        <w:r w:rsidR="00831644">
          <w:rPr>
            <w:noProof/>
            <w:webHidden/>
          </w:rPr>
        </w:r>
        <w:r w:rsidR="00831644">
          <w:rPr>
            <w:noProof/>
            <w:webHidden/>
          </w:rPr>
          <w:fldChar w:fldCharType="separate"/>
        </w:r>
        <w:r w:rsidR="003B6E70">
          <w:rPr>
            <w:noProof/>
            <w:webHidden/>
          </w:rPr>
          <w:t>9</w:t>
        </w:r>
        <w:r w:rsidR="00831644">
          <w:rPr>
            <w:noProof/>
            <w:webHidden/>
          </w:rPr>
          <w:fldChar w:fldCharType="end"/>
        </w:r>
      </w:hyperlink>
    </w:p>
    <w:p w:rsidR="00831644" w:rsidRDefault="004F0349">
      <w:pPr>
        <w:pStyle w:val="TableofFigures"/>
        <w:tabs>
          <w:tab w:val="left" w:pos="3174"/>
          <w:tab w:val="right" w:leader="dot" w:pos="9350"/>
        </w:tabs>
        <w:rPr>
          <w:rFonts w:asciiTheme="minorHAnsi" w:eastAsiaTheme="minorEastAsia" w:hAnsiTheme="minorHAnsi" w:cstheme="minorBidi"/>
          <w:noProof/>
        </w:rPr>
      </w:pPr>
      <w:hyperlink w:anchor="_Toc292581080" w:history="1">
        <w:r w:rsidR="00CA566A" w:rsidRPr="00CA566A">
          <w:rPr>
            <w:rStyle w:val="Hyperlink"/>
            <w:noProof/>
          </w:rPr>
          <w:t xml:space="preserve">Estimate </w:t>
        </w:r>
        <w:r w:rsidR="00CA566A">
          <w:rPr>
            <w:rStyle w:val="Hyperlink"/>
            <w:noProof/>
          </w:rPr>
          <w:t>B</w:t>
        </w:r>
        <w:r w:rsidR="00CA566A" w:rsidRPr="00CA566A">
          <w:rPr>
            <w:rStyle w:val="Hyperlink"/>
            <w:noProof/>
          </w:rPr>
          <w:t xml:space="preserve"> Project Academic MSW</w:t>
        </w:r>
        <w:r w:rsidR="00831644" w:rsidRPr="0028765A">
          <w:rPr>
            <w:rStyle w:val="Hyperlink"/>
            <w:noProof/>
          </w:rPr>
          <w:t xml:space="preserve"> </w:t>
        </w:r>
        <w:r w:rsidR="001D0A01">
          <w:rPr>
            <w:rStyle w:val="Hyperlink"/>
            <w:noProof/>
          </w:rPr>
          <w:t>……………………………………</w:t>
        </w:r>
        <w:r w:rsidR="00831644" w:rsidRPr="0028765A">
          <w:rPr>
            <w:rStyle w:val="Hyperlink"/>
            <w:noProof/>
          </w:rPr>
          <w:t>[7]</w:t>
        </w:r>
        <w:r w:rsidR="00831644">
          <w:rPr>
            <w:noProof/>
            <w:webHidden/>
          </w:rPr>
          <w:tab/>
        </w:r>
        <w:r w:rsidR="00831644">
          <w:rPr>
            <w:noProof/>
            <w:webHidden/>
          </w:rPr>
          <w:fldChar w:fldCharType="begin"/>
        </w:r>
        <w:r w:rsidR="00831644">
          <w:rPr>
            <w:noProof/>
            <w:webHidden/>
          </w:rPr>
          <w:instrText xml:space="preserve"> PAGEREF _Toc292581080 \h </w:instrText>
        </w:r>
        <w:r w:rsidR="00831644">
          <w:rPr>
            <w:noProof/>
            <w:webHidden/>
          </w:rPr>
        </w:r>
        <w:r w:rsidR="00831644">
          <w:rPr>
            <w:noProof/>
            <w:webHidden/>
          </w:rPr>
          <w:fldChar w:fldCharType="separate"/>
        </w:r>
        <w:r w:rsidR="003B6E70">
          <w:rPr>
            <w:noProof/>
            <w:webHidden/>
          </w:rPr>
          <w:t>9</w:t>
        </w:r>
        <w:r w:rsidR="00831644">
          <w:rPr>
            <w:noProof/>
            <w:webHidden/>
          </w:rPr>
          <w:fldChar w:fldCharType="end"/>
        </w:r>
      </w:hyperlink>
    </w:p>
    <w:p w:rsidR="00831644" w:rsidRDefault="004F0349">
      <w:pPr>
        <w:pStyle w:val="TableofFigures"/>
        <w:tabs>
          <w:tab w:val="left" w:pos="2800"/>
          <w:tab w:val="right" w:leader="dot" w:pos="9350"/>
        </w:tabs>
        <w:rPr>
          <w:rFonts w:asciiTheme="minorHAnsi" w:eastAsiaTheme="minorEastAsia" w:hAnsiTheme="minorHAnsi" w:cstheme="minorBidi"/>
          <w:noProof/>
        </w:rPr>
      </w:pPr>
      <w:hyperlink w:anchor="_Toc292581081" w:history="1">
        <w:r w:rsidR="00CA566A">
          <w:rPr>
            <w:rStyle w:val="Hyperlink"/>
            <w:noProof/>
          </w:rPr>
          <w:t>Total Estimated Project MSW</w:t>
        </w:r>
        <w:r w:rsidR="00831644" w:rsidRPr="0028765A">
          <w:rPr>
            <w:rStyle w:val="Hyperlink"/>
            <w:noProof/>
          </w:rPr>
          <w:t xml:space="preserve"> </w:t>
        </w:r>
        <w:r w:rsidR="001D0A01">
          <w:rPr>
            <w:rStyle w:val="Hyperlink"/>
            <w:noProof/>
          </w:rPr>
          <w:t>…………………………………………...</w:t>
        </w:r>
        <w:r w:rsidR="00831644" w:rsidRPr="0028765A">
          <w:rPr>
            <w:rStyle w:val="Hyperlink"/>
            <w:noProof/>
          </w:rPr>
          <w:t>[8]</w:t>
        </w:r>
        <w:r w:rsidR="00831644">
          <w:rPr>
            <w:noProof/>
            <w:webHidden/>
          </w:rPr>
          <w:tab/>
        </w:r>
        <w:r w:rsidR="00831644">
          <w:rPr>
            <w:noProof/>
            <w:webHidden/>
          </w:rPr>
          <w:fldChar w:fldCharType="begin"/>
        </w:r>
        <w:r w:rsidR="00831644">
          <w:rPr>
            <w:noProof/>
            <w:webHidden/>
          </w:rPr>
          <w:instrText xml:space="preserve"> PAGEREF _Toc292581081 \h </w:instrText>
        </w:r>
        <w:r w:rsidR="00831644">
          <w:rPr>
            <w:noProof/>
            <w:webHidden/>
          </w:rPr>
        </w:r>
        <w:r w:rsidR="00831644">
          <w:rPr>
            <w:noProof/>
            <w:webHidden/>
          </w:rPr>
          <w:fldChar w:fldCharType="separate"/>
        </w:r>
        <w:r w:rsidR="003B6E70">
          <w:rPr>
            <w:noProof/>
            <w:webHidden/>
          </w:rPr>
          <w:t>9</w:t>
        </w:r>
        <w:r w:rsidR="00831644">
          <w:rPr>
            <w:noProof/>
            <w:webHidden/>
          </w:rPr>
          <w:fldChar w:fldCharType="end"/>
        </w:r>
      </w:hyperlink>
    </w:p>
    <w:p w:rsidR="00831644" w:rsidRDefault="004F0349">
      <w:pPr>
        <w:pStyle w:val="TableofFigures"/>
        <w:tabs>
          <w:tab w:val="left" w:pos="6566"/>
          <w:tab w:val="right" w:leader="dot" w:pos="9350"/>
        </w:tabs>
        <w:rPr>
          <w:rFonts w:asciiTheme="minorHAnsi" w:eastAsiaTheme="minorEastAsia" w:hAnsiTheme="minorHAnsi" w:cstheme="minorBidi"/>
          <w:noProof/>
        </w:rPr>
      </w:pPr>
      <w:hyperlink w:anchor="_Toc292581082" w:history="1">
        <w:r w:rsidR="001D0A01" w:rsidRPr="001D0A01">
          <w:rPr>
            <w:rFonts w:eastAsiaTheme="minorEastAsia" w:cstheme="minorBidi"/>
            <w:noProof/>
          </w:rPr>
          <w:t>Impact Significance</w:t>
        </w:r>
        <w:r w:rsidR="001D0A01">
          <w:rPr>
            <w:rStyle w:val="Hyperlink"/>
            <w:noProof/>
          </w:rPr>
          <w:t xml:space="preserve">  ………………………………………………………….[9] ……………</w:t>
        </w:r>
        <w:r w:rsidR="00831644">
          <w:rPr>
            <w:noProof/>
            <w:webHidden/>
          </w:rPr>
          <w:tab/>
        </w:r>
        <w:r w:rsidR="00831644">
          <w:rPr>
            <w:noProof/>
            <w:webHidden/>
          </w:rPr>
          <w:fldChar w:fldCharType="begin"/>
        </w:r>
        <w:r w:rsidR="00831644">
          <w:rPr>
            <w:noProof/>
            <w:webHidden/>
          </w:rPr>
          <w:instrText xml:space="preserve"> PAGEREF _Toc292581082 \h </w:instrText>
        </w:r>
        <w:r w:rsidR="00831644">
          <w:rPr>
            <w:noProof/>
            <w:webHidden/>
          </w:rPr>
        </w:r>
        <w:r w:rsidR="00831644">
          <w:rPr>
            <w:noProof/>
            <w:webHidden/>
          </w:rPr>
          <w:fldChar w:fldCharType="separate"/>
        </w:r>
        <w:r w:rsidR="003B6E70">
          <w:rPr>
            <w:noProof/>
            <w:webHidden/>
          </w:rPr>
          <w:t>9</w:t>
        </w:r>
        <w:r w:rsidR="00831644">
          <w:rPr>
            <w:noProof/>
            <w:webHidden/>
          </w:rPr>
          <w:fldChar w:fldCharType="end"/>
        </w:r>
      </w:hyperlink>
    </w:p>
    <w:p w:rsidR="00831644" w:rsidRDefault="004F0349">
      <w:pPr>
        <w:pStyle w:val="TableofFigures"/>
        <w:tabs>
          <w:tab w:val="left" w:pos="3633"/>
          <w:tab w:val="right" w:leader="dot" w:pos="9350"/>
        </w:tabs>
        <w:rPr>
          <w:rFonts w:asciiTheme="minorHAnsi" w:eastAsiaTheme="minorEastAsia" w:hAnsiTheme="minorHAnsi" w:cstheme="minorBidi"/>
          <w:noProof/>
        </w:rPr>
      </w:pPr>
      <w:hyperlink w:anchor="_Toc292581083" w:history="1">
        <w:r w:rsidR="001D0A01">
          <w:rPr>
            <w:rStyle w:val="Hyperlink"/>
            <w:noProof/>
          </w:rPr>
          <w:t>Existing Residential DSNY Trucks per week</w:t>
        </w:r>
        <w:r w:rsidR="00831644" w:rsidRPr="0028765A">
          <w:rPr>
            <w:rStyle w:val="Hyperlink"/>
            <w:noProof/>
          </w:rPr>
          <w:t xml:space="preserve"> </w:t>
        </w:r>
        <w:r w:rsidR="001D0A01">
          <w:rPr>
            <w:rStyle w:val="Hyperlink"/>
            <w:noProof/>
          </w:rPr>
          <w:t>……………………….</w:t>
        </w:r>
        <w:r w:rsidR="00831644" w:rsidRPr="0028765A">
          <w:rPr>
            <w:rStyle w:val="Hyperlink"/>
            <w:noProof/>
          </w:rPr>
          <w:t>[10]</w:t>
        </w:r>
        <w:r w:rsidR="00831644">
          <w:rPr>
            <w:noProof/>
            <w:webHidden/>
          </w:rPr>
          <w:tab/>
        </w:r>
        <w:r w:rsidR="00831644">
          <w:rPr>
            <w:noProof/>
            <w:webHidden/>
          </w:rPr>
          <w:fldChar w:fldCharType="begin"/>
        </w:r>
        <w:r w:rsidR="00831644">
          <w:rPr>
            <w:noProof/>
            <w:webHidden/>
          </w:rPr>
          <w:instrText xml:space="preserve"> PAGEREF _Toc292581083 \h </w:instrText>
        </w:r>
        <w:r w:rsidR="00831644">
          <w:rPr>
            <w:noProof/>
            <w:webHidden/>
          </w:rPr>
        </w:r>
        <w:r w:rsidR="00831644">
          <w:rPr>
            <w:noProof/>
            <w:webHidden/>
          </w:rPr>
          <w:fldChar w:fldCharType="separate"/>
        </w:r>
        <w:r w:rsidR="003B6E70">
          <w:rPr>
            <w:noProof/>
            <w:webHidden/>
          </w:rPr>
          <w:t>10</w:t>
        </w:r>
        <w:r w:rsidR="00831644">
          <w:rPr>
            <w:noProof/>
            <w:webHidden/>
          </w:rPr>
          <w:fldChar w:fldCharType="end"/>
        </w:r>
      </w:hyperlink>
    </w:p>
    <w:p w:rsidR="00831644" w:rsidRDefault="004F0349">
      <w:pPr>
        <w:pStyle w:val="TableofFigures"/>
        <w:tabs>
          <w:tab w:val="left" w:pos="2054"/>
          <w:tab w:val="right" w:leader="dot" w:pos="9350"/>
        </w:tabs>
        <w:rPr>
          <w:rFonts w:asciiTheme="minorHAnsi" w:eastAsiaTheme="minorEastAsia" w:hAnsiTheme="minorHAnsi" w:cstheme="minorBidi"/>
          <w:noProof/>
        </w:rPr>
      </w:pPr>
      <w:hyperlink w:anchor="_Toc292581084" w:history="1">
        <w:r w:rsidR="001D0A01">
          <w:rPr>
            <w:rStyle w:val="Hyperlink"/>
            <w:noProof/>
          </w:rPr>
          <w:t>Existing Commecial Hauler Trucks per week</w:t>
        </w:r>
        <w:r w:rsidR="00831644" w:rsidRPr="0028765A">
          <w:rPr>
            <w:rStyle w:val="Hyperlink"/>
            <w:noProof/>
          </w:rPr>
          <w:t xml:space="preserve"> </w:t>
        </w:r>
        <w:r w:rsidR="001D0A01">
          <w:rPr>
            <w:rStyle w:val="Hyperlink"/>
            <w:noProof/>
          </w:rPr>
          <w:t>…………………......</w:t>
        </w:r>
        <w:r w:rsidR="00831644" w:rsidRPr="0028765A">
          <w:rPr>
            <w:rStyle w:val="Hyperlink"/>
            <w:noProof/>
          </w:rPr>
          <w:t>[11]</w:t>
        </w:r>
        <w:r w:rsidR="00831644">
          <w:rPr>
            <w:noProof/>
            <w:webHidden/>
          </w:rPr>
          <w:tab/>
        </w:r>
        <w:r w:rsidR="00831644">
          <w:rPr>
            <w:noProof/>
            <w:webHidden/>
          </w:rPr>
          <w:fldChar w:fldCharType="begin"/>
        </w:r>
        <w:r w:rsidR="00831644">
          <w:rPr>
            <w:noProof/>
            <w:webHidden/>
          </w:rPr>
          <w:instrText xml:space="preserve"> PAGEREF _Toc292581084 \h </w:instrText>
        </w:r>
        <w:r w:rsidR="00831644">
          <w:rPr>
            <w:noProof/>
            <w:webHidden/>
          </w:rPr>
        </w:r>
        <w:r w:rsidR="00831644">
          <w:rPr>
            <w:noProof/>
            <w:webHidden/>
          </w:rPr>
          <w:fldChar w:fldCharType="separate"/>
        </w:r>
        <w:r w:rsidR="003B6E70">
          <w:rPr>
            <w:noProof/>
            <w:webHidden/>
          </w:rPr>
          <w:t>10</w:t>
        </w:r>
        <w:r w:rsidR="00831644">
          <w:rPr>
            <w:noProof/>
            <w:webHidden/>
          </w:rPr>
          <w:fldChar w:fldCharType="end"/>
        </w:r>
      </w:hyperlink>
    </w:p>
    <w:p w:rsidR="00831644" w:rsidRDefault="004F0349">
      <w:pPr>
        <w:pStyle w:val="TableofFigures"/>
        <w:tabs>
          <w:tab w:val="left" w:pos="2234"/>
          <w:tab w:val="right" w:leader="dot" w:pos="9350"/>
        </w:tabs>
        <w:rPr>
          <w:rFonts w:asciiTheme="minorHAnsi" w:eastAsiaTheme="minorEastAsia" w:hAnsiTheme="minorHAnsi" w:cstheme="minorBidi"/>
          <w:noProof/>
        </w:rPr>
      </w:pPr>
      <w:hyperlink w:anchor="_Toc292581085" w:history="1">
        <w:r w:rsidR="001D0A01">
          <w:rPr>
            <w:rStyle w:val="Hyperlink"/>
            <w:noProof/>
          </w:rPr>
          <w:t>Estimated Project DSNY Trucks per week</w:t>
        </w:r>
        <w:r w:rsidR="00831644" w:rsidRPr="0028765A">
          <w:rPr>
            <w:rStyle w:val="Hyperlink"/>
            <w:noProof/>
          </w:rPr>
          <w:t xml:space="preserve"> </w:t>
        </w:r>
        <w:r w:rsidR="001D0A01">
          <w:rPr>
            <w:rStyle w:val="Hyperlink"/>
            <w:noProof/>
          </w:rPr>
          <w:t>………………………….</w:t>
        </w:r>
        <w:r w:rsidR="00831644" w:rsidRPr="0028765A">
          <w:rPr>
            <w:rStyle w:val="Hyperlink"/>
            <w:noProof/>
          </w:rPr>
          <w:t>[12]</w:t>
        </w:r>
        <w:r w:rsidR="00831644">
          <w:rPr>
            <w:noProof/>
            <w:webHidden/>
          </w:rPr>
          <w:tab/>
        </w:r>
        <w:r w:rsidR="00831644">
          <w:rPr>
            <w:noProof/>
            <w:webHidden/>
          </w:rPr>
          <w:fldChar w:fldCharType="begin"/>
        </w:r>
        <w:r w:rsidR="00831644">
          <w:rPr>
            <w:noProof/>
            <w:webHidden/>
          </w:rPr>
          <w:instrText xml:space="preserve"> PAGEREF _Toc292581085 \h </w:instrText>
        </w:r>
        <w:r w:rsidR="00831644">
          <w:rPr>
            <w:noProof/>
            <w:webHidden/>
          </w:rPr>
        </w:r>
        <w:r w:rsidR="00831644">
          <w:rPr>
            <w:noProof/>
            <w:webHidden/>
          </w:rPr>
          <w:fldChar w:fldCharType="separate"/>
        </w:r>
        <w:r w:rsidR="003B6E70">
          <w:rPr>
            <w:noProof/>
            <w:webHidden/>
          </w:rPr>
          <w:t>10</w:t>
        </w:r>
        <w:r w:rsidR="00831644">
          <w:rPr>
            <w:noProof/>
            <w:webHidden/>
          </w:rPr>
          <w:fldChar w:fldCharType="end"/>
        </w:r>
      </w:hyperlink>
    </w:p>
    <w:p w:rsidR="00831644" w:rsidRDefault="004F0349">
      <w:pPr>
        <w:pStyle w:val="TableofFigures"/>
        <w:tabs>
          <w:tab w:val="left" w:pos="2299"/>
          <w:tab w:val="right" w:leader="dot" w:pos="9350"/>
        </w:tabs>
        <w:rPr>
          <w:rFonts w:asciiTheme="minorHAnsi" w:eastAsiaTheme="minorEastAsia" w:hAnsiTheme="minorHAnsi" w:cstheme="minorBidi"/>
          <w:noProof/>
        </w:rPr>
      </w:pPr>
      <w:hyperlink w:anchor="_Toc292581086" w:history="1">
        <w:r w:rsidR="001D0A01">
          <w:rPr>
            <w:rStyle w:val="Hyperlink"/>
            <w:noProof/>
          </w:rPr>
          <w:t>Truck Stops per week</w:t>
        </w:r>
        <w:r w:rsidR="00831644" w:rsidRPr="0028765A">
          <w:rPr>
            <w:rStyle w:val="Hyperlink"/>
            <w:noProof/>
          </w:rPr>
          <w:t xml:space="preserve">  </w:t>
        </w:r>
        <w:r w:rsidR="001D0A01">
          <w:rPr>
            <w:rStyle w:val="Hyperlink"/>
            <w:noProof/>
          </w:rPr>
          <w:t>………………………………………………………</w:t>
        </w:r>
        <w:r w:rsidR="00831644" w:rsidRPr="0028765A">
          <w:rPr>
            <w:rStyle w:val="Hyperlink"/>
            <w:noProof/>
          </w:rPr>
          <w:t>[13]</w:t>
        </w:r>
        <w:r w:rsidR="00831644">
          <w:rPr>
            <w:noProof/>
            <w:webHidden/>
          </w:rPr>
          <w:tab/>
        </w:r>
        <w:r w:rsidR="00831644">
          <w:rPr>
            <w:noProof/>
            <w:webHidden/>
          </w:rPr>
          <w:fldChar w:fldCharType="begin"/>
        </w:r>
        <w:r w:rsidR="00831644">
          <w:rPr>
            <w:noProof/>
            <w:webHidden/>
          </w:rPr>
          <w:instrText xml:space="preserve"> PAGEREF _Toc292581086 \h </w:instrText>
        </w:r>
        <w:r w:rsidR="00831644">
          <w:rPr>
            <w:noProof/>
            <w:webHidden/>
          </w:rPr>
        </w:r>
        <w:r w:rsidR="00831644">
          <w:rPr>
            <w:noProof/>
            <w:webHidden/>
          </w:rPr>
          <w:fldChar w:fldCharType="separate"/>
        </w:r>
        <w:r w:rsidR="003B6E70">
          <w:rPr>
            <w:noProof/>
            <w:webHidden/>
          </w:rPr>
          <w:t>11</w:t>
        </w:r>
        <w:r w:rsidR="00831644">
          <w:rPr>
            <w:noProof/>
            <w:webHidden/>
          </w:rPr>
          <w:fldChar w:fldCharType="end"/>
        </w:r>
      </w:hyperlink>
    </w:p>
    <w:p w:rsidR="00E10531" w:rsidRDefault="007D6C29" w:rsidP="004775C9">
      <w:r>
        <w:fldChar w:fldCharType="end"/>
      </w:r>
    </w:p>
    <w:p w:rsidR="00CA566A" w:rsidRDefault="00CA566A">
      <w:r>
        <w:rPr>
          <w:smallCaps/>
        </w:rPr>
        <w:br w:type="page"/>
      </w:r>
    </w:p>
    <w:p w:rsidR="00D52E72" w:rsidRPr="00C140FB" w:rsidRDefault="007B4B3B" w:rsidP="004B4519">
      <w:pPr>
        <w:pStyle w:val="Heading1"/>
        <w:rPr>
          <w:rFonts w:eastAsia="Times New Roman"/>
        </w:rPr>
      </w:pPr>
      <w:bookmarkStart w:id="2" w:name="_Toc292629338"/>
      <w:r>
        <w:rPr>
          <w:rFonts w:eastAsia="Times New Roman"/>
        </w:rPr>
        <w:lastRenderedPageBreak/>
        <w:t xml:space="preserve">1.0 </w:t>
      </w:r>
      <w:r w:rsidR="00D52E72" w:rsidRPr="00C140FB">
        <w:rPr>
          <w:rFonts w:eastAsia="Times New Roman"/>
        </w:rPr>
        <w:t>Abstract</w:t>
      </w:r>
      <w:bookmarkEnd w:id="1"/>
      <w:bookmarkEnd w:id="2"/>
    </w:p>
    <w:p w:rsidR="00D97AB2" w:rsidRDefault="00DA4529" w:rsidP="004775C9">
      <w:pPr>
        <w:jc w:val="both"/>
        <w:rPr>
          <w:rFonts w:eastAsia="Times New Roman"/>
        </w:rPr>
      </w:pPr>
      <w:bookmarkStart w:id="3" w:name="_Toc290524329"/>
      <w:r>
        <w:rPr>
          <w:rFonts w:eastAsia="Times New Roman"/>
        </w:rPr>
        <w:t>Survey,</w:t>
      </w:r>
      <w:r w:rsidR="005D620D">
        <w:rPr>
          <w:rFonts w:eastAsia="Times New Roman"/>
        </w:rPr>
        <w:t xml:space="preserve"> research and analysis to determine the impact on NYC </w:t>
      </w:r>
      <w:r w:rsidR="00FB3EB4">
        <w:rPr>
          <w:rFonts w:eastAsia="Times New Roman"/>
        </w:rPr>
        <w:t>s</w:t>
      </w:r>
      <w:r w:rsidR="005D620D">
        <w:rPr>
          <w:rFonts w:eastAsia="Times New Roman"/>
        </w:rPr>
        <w:t xml:space="preserve">olid </w:t>
      </w:r>
      <w:r w:rsidR="00FB3EB4">
        <w:rPr>
          <w:rFonts w:eastAsia="Times New Roman"/>
        </w:rPr>
        <w:t>w</w:t>
      </w:r>
      <w:r w:rsidR="005D620D">
        <w:rPr>
          <w:rFonts w:eastAsia="Times New Roman"/>
        </w:rPr>
        <w:t>aste</w:t>
      </w:r>
      <w:r w:rsidR="00FB3EB4">
        <w:rPr>
          <w:rFonts w:eastAsia="Times New Roman"/>
        </w:rPr>
        <w:t xml:space="preserve"> </w:t>
      </w:r>
      <w:r w:rsidR="005D620D">
        <w:rPr>
          <w:rFonts w:eastAsia="Times New Roman"/>
        </w:rPr>
        <w:t>infrastructure of the proposed City College of New York expansion shows no significant impact based on a significance threshold of 50 tons/week additional</w:t>
      </w:r>
      <w:r w:rsidR="00FB3EB4">
        <w:rPr>
          <w:rFonts w:eastAsia="Times New Roman"/>
        </w:rPr>
        <w:t xml:space="preserve"> solid waste</w:t>
      </w:r>
      <w:r w:rsidR="005D620D">
        <w:rPr>
          <w:rFonts w:eastAsia="Times New Roman"/>
        </w:rPr>
        <w:t xml:space="preserve"> generated. </w:t>
      </w:r>
      <w:r w:rsidR="00864332">
        <w:rPr>
          <w:rFonts w:eastAsia="Times New Roman"/>
        </w:rPr>
        <w:t>The study area</w:t>
      </w:r>
      <w:r w:rsidR="00D97AB2">
        <w:rPr>
          <w:rFonts w:eastAsia="Times New Roman"/>
        </w:rPr>
        <w:t xml:space="preserve"> </w:t>
      </w:r>
      <w:r w:rsidR="00864332">
        <w:rPr>
          <w:rFonts w:eastAsia="Times New Roman"/>
        </w:rPr>
        <w:t>i</w:t>
      </w:r>
      <w:r w:rsidR="00D97AB2">
        <w:rPr>
          <w:rFonts w:eastAsia="Times New Roman"/>
        </w:rPr>
        <w:t>s set at the physical boundary of the project build area</w:t>
      </w:r>
      <w:r w:rsidR="00FB3EB4" w:rsidRPr="00517AD2">
        <w:rPr>
          <w:rFonts w:eastAsia="Times New Roman"/>
        </w:rPr>
        <w:t>, from Amsterdam Ave</w:t>
      </w:r>
      <w:r w:rsidR="00517AD2">
        <w:rPr>
          <w:rFonts w:eastAsia="Times New Roman"/>
        </w:rPr>
        <w:t>nue</w:t>
      </w:r>
      <w:r w:rsidR="00FB3EB4" w:rsidRPr="00517AD2">
        <w:rPr>
          <w:rFonts w:eastAsia="Times New Roman"/>
        </w:rPr>
        <w:t xml:space="preserve"> to Riverside Drive, between 135</w:t>
      </w:r>
      <w:r w:rsidR="00FB3EB4" w:rsidRPr="00517AD2">
        <w:rPr>
          <w:rFonts w:eastAsia="Times New Roman"/>
          <w:vertAlign w:val="superscript"/>
        </w:rPr>
        <w:t>th</w:t>
      </w:r>
      <w:r w:rsidR="00FB3EB4" w:rsidRPr="00517AD2">
        <w:rPr>
          <w:rFonts w:eastAsia="Times New Roman"/>
        </w:rPr>
        <w:t xml:space="preserve"> and 140</w:t>
      </w:r>
      <w:r w:rsidR="00FB3EB4" w:rsidRPr="00517AD2">
        <w:rPr>
          <w:rFonts w:eastAsia="Times New Roman"/>
          <w:vertAlign w:val="superscript"/>
        </w:rPr>
        <w:t>th</w:t>
      </w:r>
      <w:r w:rsidR="00FB3EB4" w:rsidRPr="00517AD2">
        <w:rPr>
          <w:rFonts w:eastAsia="Times New Roman"/>
        </w:rPr>
        <w:t xml:space="preserve"> streets</w:t>
      </w:r>
      <w:r w:rsidR="00D97AB2" w:rsidRPr="00517AD2">
        <w:rPr>
          <w:rFonts w:eastAsia="Times New Roman"/>
        </w:rPr>
        <w:t xml:space="preserve">. </w:t>
      </w:r>
      <w:r w:rsidR="00FB3EB4" w:rsidRPr="00517AD2">
        <w:rPr>
          <w:rFonts w:eastAsia="Times New Roman"/>
        </w:rPr>
        <w:t xml:space="preserve">Solid </w:t>
      </w:r>
      <w:r w:rsidR="00FB3EB4">
        <w:rPr>
          <w:rFonts w:eastAsia="Times New Roman"/>
        </w:rPr>
        <w:t>waste</w:t>
      </w:r>
      <w:r w:rsidR="00D97AB2">
        <w:rPr>
          <w:rFonts w:eastAsia="Times New Roman"/>
        </w:rPr>
        <w:t xml:space="preserve"> is the aggregate of commercial and residential solid waste generated within the project boundary. Residential MSW within the project</w:t>
      </w:r>
      <w:r w:rsidR="00FB3EB4">
        <w:rPr>
          <w:rFonts w:eastAsia="Times New Roman"/>
        </w:rPr>
        <w:t xml:space="preserve"> area </w:t>
      </w:r>
      <w:r w:rsidR="002464B0">
        <w:rPr>
          <w:rFonts w:eastAsia="Times New Roman"/>
        </w:rPr>
        <w:t>is</w:t>
      </w:r>
      <w:r w:rsidR="00FB3EB4">
        <w:rPr>
          <w:rFonts w:eastAsia="Times New Roman"/>
        </w:rPr>
        <w:t xml:space="preserve"> estimated based on a two block sample of </w:t>
      </w:r>
      <w:r w:rsidR="00517AD2">
        <w:rPr>
          <w:rFonts w:eastAsia="Times New Roman"/>
        </w:rPr>
        <w:t>building data from the city’s on-line GIS portal</w:t>
      </w:r>
      <w:r w:rsidR="00D97AB2">
        <w:rPr>
          <w:rFonts w:eastAsia="Times New Roman"/>
        </w:rPr>
        <w:t xml:space="preserve">. Commercial presence within the project area </w:t>
      </w:r>
      <w:r w:rsidR="002464B0">
        <w:rPr>
          <w:rFonts w:eastAsia="Times New Roman"/>
        </w:rPr>
        <w:t>is</w:t>
      </w:r>
      <w:r w:rsidR="00D97AB2">
        <w:rPr>
          <w:rFonts w:eastAsia="Times New Roman"/>
        </w:rPr>
        <w:t xml:space="preserve"> determined through </w:t>
      </w:r>
      <w:r w:rsidR="00517AD2">
        <w:rPr>
          <w:rFonts w:eastAsia="Times New Roman"/>
        </w:rPr>
        <w:t>in</w:t>
      </w:r>
      <w:r w:rsidR="009D100F">
        <w:rPr>
          <w:rFonts w:eastAsia="Times New Roman"/>
        </w:rPr>
        <w:t>-</w:t>
      </w:r>
      <w:r w:rsidR="00517AD2">
        <w:rPr>
          <w:rFonts w:eastAsia="Times New Roman"/>
        </w:rPr>
        <w:t xml:space="preserve">person </w:t>
      </w:r>
      <w:r w:rsidR="00D97AB2">
        <w:rPr>
          <w:rFonts w:eastAsia="Times New Roman"/>
        </w:rPr>
        <w:t>survey</w:t>
      </w:r>
      <w:r w:rsidR="00517AD2">
        <w:rPr>
          <w:rFonts w:eastAsia="Times New Roman"/>
        </w:rPr>
        <w:t xml:space="preserve"> of businesses within the project area</w:t>
      </w:r>
      <w:r w:rsidR="00D97AB2">
        <w:rPr>
          <w:rFonts w:eastAsia="Times New Roman"/>
        </w:rPr>
        <w:t xml:space="preserve"> and the commercial component of </w:t>
      </w:r>
      <w:r w:rsidR="00517AD2">
        <w:rPr>
          <w:rFonts w:eastAsia="Times New Roman"/>
        </w:rPr>
        <w:t>solid waste</w:t>
      </w:r>
      <w:r w:rsidR="00D97AB2">
        <w:rPr>
          <w:rFonts w:eastAsia="Times New Roman"/>
        </w:rPr>
        <w:t xml:space="preserve"> </w:t>
      </w:r>
      <w:r w:rsidR="002464B0">
        <w:rPr>
          <w:rFonts w:eastAsia="Times New Roman"/>
        </w:rPr>
        <w:t>is</w:t>
      </w:r>
      <w:r w:rsidR="00D97AB2">
        <w:rPr>
          <w:rFonts w:eastAsia="Times New Roman"/>
        </w:rPr>
        <w:t xml:space="preserve"> determined through analysis of that data.</w:t>
      </w:r>
    </w:p>
    <w:p w:rsidR="00DA4529" w:rsidRPr="00DA4529" w:rsidRDefault="005D620D" w:rsidP="004775C9">
      <w:pPr>
        <w:jc w:val="both"/>
        <w:rPr>
          <w:rFonts w:eastAsia="Times New Roman"/>
        </w:rPr>
      </w:pPr>
      <w:r>
        <w:rPr>
          <w:rFonts w:eastAsia="Times New Roman"/>
        </w:rPr>
        <w:t xml:space="preserve">The expected MSW generated in the build condition is </w:t>
      </w:r>
      <w:r w:rsidR="00517AD2">
        <w:rPr>
          <w:rFonts w:eastAsia="Times New Roman"/>
        </w:rPr>
        <w:t>43.2</w:t>
      </w:r>
      <w:r>
        <w:rPr>
          <w:rFonts w:eastAsia="Times New Roman"/>
        </w:rPr>
        <w:t xml:space="preserve"> T/wk, which is a </w:t>
      </w:r>
      <w:r w:rsidR="00517AD2">
        <w:rPr>
          <w:rFonts w:eastAsia="Times New Roman"/>
        </w:rPr>
        <w:t>65</w:t>
      </w:r>
      <w:r>
        <w:rPr>
          <w:rFonts w:eastAsia="Times New Roman"/>
        </w:rPr>
        <w:t xml:space="preserve">% reduction from the estimated existing condition of </w:t>
      </w:r>
      <w:r w:rsidR="00517AD2">
        <w:rPr>
          <w:rFonts w:eastAsia="Times New Roman"/>
        </w:rPr>
        <w:t>124.4</w:t>
      </w:r>
      <w:r>
        <w:rPr>
          <w:rFonts w:eastAsia="Times New Roman"/>
        </w:rPr>
        <w:t xml:space="preserve"> T/wk generated. The build condition </w:t>
      </w:r>
      <w:r w:rsidR="00D43740" w:rsidRPr="009D100F">
        <w:rPr>
          <w:rFonts w:eastAsia="Times New Roman"/>
        </w:rPr>
        <w:t>utilizes</w:t>
      </w:r>
      <w:r w:rsidR="009D100F" w:rsidRPr="009D100F">
        <w:rPr>
          <w:rFonts w:eastAsia="Times New Roman"/>
        </w:rPr>
        <w:t xml:space="preserve"> less than</w:t>
      </w:r>
      <w:r w:rsidR="00D43740" w:rsidRPr="009D100F">
        <w:rPr>
          <w:rFonts w:eastAsia="Times New Roman"/>
        </w:rPr>
        <w:t xml:space="preserve"> half the MSW truck fleet of the build condition, 5 trucks as compared to 1</w:t>
      </w:r>
      <w:r w:rsidR="009D100F" w:rsidRPr="009D100F">
        <w:rPr>
          <w:rFonts w:eastAsia="Times New Roman"/>
        </w:rPr>
        <w:t>2</w:t>
      </w:r>
      <w:r w:rsidR="00D43740" w:rsidRPr="009D100F">
        <w:rPr>
          <w:rFonts w:eastAsia="Times New Roman"/>
        </w:rPr>
        <w:t xml:space="preserve"> trucks for existing conditions,</w:t>
      </w:r>
      <w:r w:rsidR="00D43740">
        <w:rPr>
          <w:rFonts w:eastAsia="Times New Roman"/>
        </w:rPr>
        <w:t xml:space="preserve"> and will require nearly 1300 fewer collection stops per week compared with existing conditions.</w:t>
      </w:r>
      <w:r w:rsidR="0034457A">
        <w:rPr>
          <w:rFonts w:eastAsia="Times New Roman"/>
        </w:rPr>
        <w:t xml:space="preserve"> </w:t>
      </w:r>
      <w:r w:rsidR="00D43740">
        <w:rPr>
          <w:rFonts w:eastAsia="Times New Roman"/>
        </w:rPr>
        <w:t>Proposed waste generation reduction strategies, recycling and composting will further reduce the project burden on MSW infrastructure in accordance with New York City goals outlined in</w:t>
      </w:r>
      <w:bookmarkEnd w:id="3"/>
      <w:r w:rsidR="00DA4529">
        <w:rPr>
          <w:rFonts w:eastAsia="Times New Roman"/>
        </w:rPr>
        <w:t xml:space="preserve"> DSNY’s</w:t>
      </w:r>
      <w:r w:rsidR="00D43740">
        <w:rPr>
          <w:rFonts w:eastAsia="Times New Roman"/>
        </w:rPr>
        <w:t xml:space="preserve"> </w:t>
      </w:r>
      <w:r w:rsidR="00DA4529">
        <w:rPr>
          <w:rFonts w:eastAsia="Times New Roman"/>
        </w:rPr>
        <w:t>Comprehensive</w:t>
      </w:r>
      <w:r w:rsidR="00DA4529" w:rsidRPr="00DA4529">
        <w:rPr>
          <w:rFonts w:eastAsia="Times New Roman"/>
        </w:rPr>
        <w:t xml:space="preserve"> </w:t>
      </w:r>
      <w:r w:rsidR="00DA4529">
        <w:rPr>
          <w:rFonts w:eastAsia="Times New Roman"/>
        </w:rPr>
        <w:t>Solid</w:t>
      </w:r>
      <w:r w:rsidR="00DA4529" w:rsidRPr="00DA4529">
        <w:rPr>
          <w:rFonts w:eastAsia="Times New Roman"/>
        </w:rPr>
        <w:t xml:space="preserve"> </w:t>
      </w:r>
      <w:r w:rsidR="00DA4529">
        <w:rPr>
          <w:rFonts w:eastAsia="Times New Roman"/>
        </w:rPr>
        <w:t>Waste</w:t>
      </w:r>
      <w:r w:rsidR="00DA4529" w:rsidRPr="00DA4529">
        <w:rPr>
          <w:rFonts w:eastAsia="Times New Roman"/>
        </w:rPr>
        <w:t xml:space="preserve"> </w:t>
      </w:r>
      <w:r w:rsidR="00DA4529">
        <w:rPr>
          <w:rFonts w:eastAsia="Times New Roman"/>
        </w:rPr>
        <w:t>Management</w:t>
      </w:r>
      <w:r w:rsidR="00DA4529" w:rsidRPr="00DA4529">
        <w:rPr>
          <w:rFonts w:eastAsia="Times New Roman"/>
        </w:rPr>
        <w:t xml:space="preserve"> </w:t>
      </w:r>
      <w:r w:rsidR="00DA4529">
        <w:rPr>
          <w:rFonts w:eastAsia="Times New Roman"/>
        </w:rPr>
        <w:t>Plan (DSNY, 2006)</w:t>
      </w:r>
      <w:r w:rsidR="00DA4529" w:rsidRPr="00DA4529">
        <w:rPr>
          <w:rFonts w:eastAsia="Times New Roman"/>
        </w:rPr>
        <w:t xml:space="preserve"> </w:t>
      </w:r>
    </w:p>
    <w:p w:rsidR="00486CDD" w:rsidRDefault="007B4B3B" w:rsidP="004B4519">
      <w:pPr>
        <w:pStyle w:val="Heading1"/>
      </w:pPr>
      <w:bookmarkStart w:id="4" w:name="_Toc290524330"/>
      <w:bookmarkStart w:id="5" w:name="_Toc292629339"/>
      <w:r>
        <w:t xml:space="preserve">2.0 </w:t>
      </w:r>
      <w:r w:rsidR="00486CDD">
        <w:t>Objective</w:t>
      </w:r>
      <w:bookmarkEnd w:id="4"/>
      <w:bookmarkEnd w:id="5"/>
    </w:p>
    <w:p w:rsidR="00486CDD" w:rsidRDefault="00486CDD" w:rsidP="004775C9">
      <w:pPr>
        <w:jc w:val="both"/>
      </w:pPr>
      <w:r>
        <w:t>The new development for the City College of New York between Amsterdam Avenue and Riverside drive and between 135</w:t>
      </w:r>
      <w:r>
        <w:rPr>
          <w:vertAlign w:val="superscript"/>
        </w:rPr>
        <w:t>th</w:t>
      </w:r>
      <w:r>
        <w:t xml:space="preserve"> Street and 140</w:t>
      </w:r>
      <w:r>
        <w:rPr>
          <w:vertAlign w:val="superscript"/>
        </w:rPr>
        <w:t>th</w:t>
      </w:r>
      <w:r>
        <w:t xml:space="preserve"> Street may generate more solid waste than the existing residential</w:t>
      </w:r>
      <w:r w:rsidR="00A5705A">
        <w:t xml:space="preserve"> and commercial</w:t>
      </w:r>
      <w:r>
        <w:t xml:space="preserve"> infrastructure.  This report will model </w:t>
      </w:r>
      <w:r w:rsidR="00DA4529">
        <w:t xml:space="preserve">existing and build condition </w:t>
      </w:r>
      <w:r>
        <w:t>expected solid waste generation for the development and compare it with the standards set out for solid waste management (SWM) in the CEQR Technical Manual</w:t>
      </w:r>
      <w:r w:rsidR="0084795A">
        <w:t xml:space="preserve"> to determine if the proposed project will have a  significant adverse impact on </w:t>
      </w:r>
      <w:r w:rsidR="00D97AB2">
        <w:t>SWM</w:t>
      </w:r>
      <w:r w:rsidR="0084795A">
        <w:t xml:space="preserve"> goals and MSW infrastructure</w:t>
      </w:r>
      <w:r>
        <w:t>.</w:t>
      </w:r>
      <w:r w:rsidR="00D97AB2">
        <w:t xml:space="preserve"> The character of the project impact, adverse, neutral or beneficial, shall determine the</w:t>
      </w:r>
      <w:r w:rsidR="00DA6BFF">
        <w:t xml:space="preserve"> recommendation to </w:t>
      </w:r>
      <w:r w:rsidR="00864332">
        <w:t>reject</w:t>
      </w:r>
      <w:r w:rsidR="00DA6BFF">
        <w:t xml:space="preserve"> or approve the</w:t>
      </w:r>
      <w:r w:rsidR="00864332">
        <w:t xml:space="preserve"> proposed</w:t>
      </w:r>
      <w:r w:rsidR="00DA6BFF">
        <w:t xml:space="preserve"> project with respect to MSW</w:t>
      </w:r>
      <w:r w:rsidR="00864332">
        <w:t xml:space="preserve"> management</w:t>
      </w:r>
      <w:r w:rsidR="00DA6BFF">
        <w:t>.</w:t>
      </w:r>
    </w:p>
    <w:p w:rsidR="00486CDD" w:rsidRDefault="007B4B3B" w:rsidP="004B4519">
      <w:pPr>
        <w:pStyle w:val="Heading1"/>
      </w:pPr>
      <w:bookmarkStart w:id="6" w:name="_Toc290524331"/>
      <w:bookmarkStart w:id="7" w:name="_Toc292629340"/>
      <w:r>
        <w:t xml:space="preserve">3.0 </w:t>
      </w:r>
      <w:r w:rsidR="00486CDD">
        <w:t>Introduction</w:t>
      </w:r>
      <w:bookmarkEnd w:id="6"/>
      <w:bookmarkEnd w:id="7"/>
    </w:p>
    <w:p w:rsidR="00BB1EFC" w:rsidRDefault="00486CDD" w:rsidP="004775C9">
      <w:pPr>
        <w:jc w:val="both"/>
      </w:pPr>
      <w:r w:rsidRPr="00DA4529">
        <w:t>The property for this report is the volume of municipal solid waste disposed of within the development area</w:t>
      </w:r>
      <w:r w:rsidR="00A5705A" w:rsidRPr="00DA4529">
        <w:t xml:space="preserve"> in existing and build conditions</w:t>
      </w:r>
      <w:r w:rsidRPr="00DA4529">
        <w:t xml:space="preserve">. The City College of New York (CCNY) is a branch of The City University of New York (CUNY), </w:t>
      </w:r>
      <w:r w:rsidR="00DA6BFF">
        <w:t>a public institution</w:t>
      </w:r>
      <w:r w:rsidRPr="00DA4529">
        <w:t xml:space="preserve"> of The City of New York and, as such, its garbage is</w:t>
      </w:r>
      <w:r w:rsidR="00FD397B">
        <w:t xml:space="preserve"> publicly managed</w:t>
      </w:r>
      <w:r w:rsidRPr="00DA4529">
        <w:t xml:space="preserve"> municipal solid waste.  </w:t>
      </w:r>
      <w:r w:rsidR="00FD397B">
        <w:t xml:space="preserve">In the existing condition, a mixed use area with </w:t>
      </w:r>
      <w:r w:rsidR="00AA1F36">
        <w:t>residences lining</w:t>
      </w:r>
      <w:r w:rsidR="00FD397B">
        <w:t xml:space="preserve"> the streets, commercial establishments lining the avenues, a public school and a park, MSW management is divided between the Department of Sanitation for the City of New York, which handles the residential and school MSW, and commercial haulers, which handle the commercial MSW. </w:t>
      </w:r>
      <w:r w:rsidR="00585AF7">
        <w:t>In the near term, the waste generation of the neighborhood</w:t>
      </w:r>
      <w:r w:rsidR="004775C9">
        <w:t xml:space="preserve"> surrounding the project area</w:t>
      </w:r>
      <w:r w:rsidR="00585AF7">
        <w:t xml:space="preserve"> is expected to remain unchanged</w:t>
      </w:r>
      <w:r w:rsidR="00864332">
        <w:t>. City College has been in its location since 1847 and the character of the surrounding neighborhood is well equilibrated to its presence. As a result, the study area is set at the boundary of the proposed project, which is also the edge of the area in which the MSW generated is expected to change in the build condition.</w:t>
      </w:r>
    </w:p>
    <w:p w:rsidR="00FD397B" w:rsidRDefault="00FD397B" w:rsidP="00FD397B"/>
    <w:p w:rsidR="00FD397B" w:rsidRPr="002358B6" w:rsidRDefault="00FD397B" w:rsidP="00FD397B">
      <w:r>
        <w:rPr>
          <w:noProof/>
        </w:rPr>
        <w:drawing>
          <wp:inline distT="0" distB="0" distL="0" distR="0" wp14:anchorId="756664F0" wp14:editId="743B489D">
            <wp:extent cx="5892394" cy="418612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ma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2394" cy="4186123"/>
                    </a:xfrm>
                    <a:prstGeom prst="rect">
                      <a:avLst/>
                    </a:prstGeom>
                  </pic:spPr>
                </pic:pic>
              </a:graphicData>
            </a:graphic>
          </wp:inline>
        </w:drawing>
      </w:r>
    </w:p>
    <w:p w:rsidR="00AA1F36" w:rsidRPr="00F20434" w:rsidRDefault="00F20434" w:rsidP="00F20434">
      <w:pPr>
        <w:pStyle w:val="Caption"/>
        <w:rPr>
          <w:b w:val="0"/>
          <w:color w:val="auto"/>
          <w:sz w:val="22"/>
          <w:szCs w:val="22"/>
        </w:rPr>
      </w:pPr>
      <w:bookmarkStart w:id="8" w:name="_Toc292580217"/>
      <w:r w:rsidRPr="00F20434">
        <w:rPr>
          <w:b w:val="0"/>
          <w:color w:val="auto"/>
          <w:sz w:val="22"/>
          <w:szCs w:val="22"/>
        </w:rPr>
        <w:t xml:space="preserve">Figure </w:t>
      </w:r>
      <w:r w:rsidRPr="00F20434">
        <w:rPr>
          <w:b w:val="0"/>
          <w:color w:val="auto"/>
          <w:sz w:val="22"/>
          <w:szCs w:val="22"/>
        </w:rPr>
        <w:fldChar w:fldCharType="begin"/>
      </w:r>
      <w:r w:rsidRPr="00F20434">
        <w:rPr>
          <w:b w:val="0"/>
          <w:color w:val="auto"/>
          <w:sz w:val="22"/>
          <w:szCs w:val="22"/>
        </w:rPr>
        <w:instrText xml:space="preserve"> SEQ Figure \* ARABIC </w:instrText>
      </w:r>
      <w:r w:rsidRPr="00F20434">
        <w:rPr>
          <w:b w:val="0"/>
          <w:color w:val="auto"/>
          <w:sz w:val="22"/>
          <w:szCs w:val="22"/>
        </w:rPr>
        <w:fldChar w:fldCharType="separate"/>
      </w:r>
      <w:r w:rsidR="00DD0A90">
        <w:rPr>
          <w:b w:val="0"/>
          <w:noProof/>
          <w:color w:val="auto"/>
          <w:sz w:val="22"/>
          <w:szCs w:val="22"/>
        </w:rPr>
        <w:t>1</w:t>
      </w:r>
      <w:r w:rsidRPr="00F20434">
        <w:rPr>
          <w:b w:val="0"/>
          <w:color w:val="auto"/>
          <w:sz w:val="22"/>
          <w:szCs w:val="22"/>
        </w:rPr>
        <w:fldChar w:fldCharType="end"/>
      </w:r>
      <w:r w:rsidRPr="00F20434">
        <w:rPr>
          <w:b w:val="0"/>
          <w:color w:val="auto"/>
          <w:sz w:val="22"/>
          <w:szCs w:val="22"/>
        </w:rPr>
        <w:t>: Map of City College and proposed project area</w:t>
      </w:r>
      <w:bookmarkEnd w:id="8"/>
      <w:r w:rsidRPr="00F20434">
        <w:rPr>
          <w:b w:val="0"/>
          <w:color w:val="auto"/>
          <w:sz w:val="22"/>
          <w:szCs w:val="22"/>
        </w:rPr>
        <w:t xml:space="preserve"> </w:t>
      </w:r>
      <w:r w:rsidR="007D6C29" w:rsidRPr="00F20434">
        <w:rPr>
          <w:b w:val="0"/>
          <w:color w:val="auto"/>
          <w:sz w:val="22"/>
          <w:szCs w:val="22"/>
        </w:rPr>
        <w:t>showing existing buildings, non-residential areas and the blocks used to sample residential density. (The City of New York, 2011)</w:t>
      </w:r>
    </w:p>
    <w:p w:rsidR="00FD397B" w:rsidRDefault="00FD397B" w:rsidP="003F7A29">
      <w:pPr>
        <w:jc w:val="both"/>
      </w:pPr>
      <w:r>
        <w:t>Figure 1 shows the footprint of the proposed project in situ</w:t>
      </w:r>
      <w:r w:rsidR="00AA1F36">
        <w:t>, outlined in orange,</w:t>
      </w:r>
      <w:r>
        <w:t xml:space="preserve"> with the existing City College of New York campus outlined in </w:t>
      </w:r>
      <w:r w:rsidR="00AA1F36">
        <w:t xml:space="preserve">green to the southeast. </w:t>
      </w:r>
      <w:r w:rsidR="00585AF7">
        <w:t xml:space="preserve">The blocks outlined in blue are used to estimate the residential density of the project area as described in </w:t>
      </w:r>
      <w:r w:rsidR="002464B0">
        <w:t xml:space="preserve">section </w:t>
      </w:r>
      <w:r w:rsidR="002464B0" w:rsidRPr="002464B0">
        <w:t>5.1.1</w:t>
      </w:r>
      <w:r w:rsidR="00585AF7">
        <w:t xml:space="preserve">. </w:t>
      </w:r>
    </w:p>
    <w:p w:rsidR="003F7A29" w:rsidRPr="00DA4529" w:rsidRDefault="00864332" w:rsidP="003F7A29">
      <w:pPr>
        <w:jc w:val="both"/>
      </w:pPr>
      <w:r>
        <w:t>The</w:t>
      </w:r>
      <w:r w:rsidR="003F7A29" w:rsidRPr="00DA4529">
        <w:t xml:space="preserve"> solid waste assessment procedure presented in this report is the standard method </w:t>
      </w:r>
      <w:r w:rsidR="001C6520">
        <w:t>for</w:t>
      </w:r>
      <w:r w:rsidR="003F7A29" w:rsidRPr="00DA4529">
        <w:t xml:space="preserve"> assess</w:t>
      </w:r>
      <w:r w:rsidR="001C6520">
        <w:t>ing</w:t>
      </w:r>
      <w:r w:rsidR="003F7A29" w:rsidRPr="00DA4529">
        <w:t xml:space="preserve"> </w:t>
      </w:r>
      <w:r w:rsidR="001C6520">
        <w:t xml:space="preserve">impact from </w:t>
      </w:r>
      <w:r w:rsidR="003F7A29" w:rsidRPr="00DA4529">
        <w:t>solid waste generation of all kind</w:t>
      </w:r>
      <w:r w:rsidR="001C6520">
        <w:t>s</w:t>
      </w:r>
      <w:r w:rsidR="003F7A29" w:rsidRPr="00DA4529">
        <w:t>.  The assessment is undertaken to comply with the city regulation</w:t>
      </w:r>
      <w:r w:rsidR="001C6520">
        <w:t xml:space="preserve"> as set forth in the CEQR Technical Manual</w:t>
      </w:r>
      <w:r w:rsidR="003F7A29" w:rsidRPr="00DA4529">
        <w:t xml:space="preserve"> and </w:t>
      </w:r>
      <w:r w:rsidR="00BF4B3A">
        <w:t xml:space="preserve">with </w:t>
      </w:r>
      <w:r w:rsidR="003F7A29" w:rsidRPr="00DA4529">
        <w:t>all environmental concerns. A short list of the reason</w:t>
      </w:r>
      <w:r w:rsidR="00BB1EFC">
        <w:t>s</w:t>
      </w:r>
      <w:r w:rsidR="00EC39D7">
        <w:t xml:space="preserve"> for</w:t>
      </w:r>
      <w:r w:rsidR="003F7A29" w:rsidRPr="00DA4529">
        <w:t xml:space="preserve"> and the necessary steps concerning the aspect of solid waste generation and management assessment of this form is as follows:</w:t>
      </w:r>
    </w:p>
    <w:p w:rsidR="002A12B8" w:rsidRDefault="002A12B8" w:rsidP="00FE3A9E">
      <w:pPr>
        <w:pStyle w:val="ListParagraph"/>
        <w:numPr>
          <w:ilvl w:val="0"/>
          <w:numId w:val="10"/>
        </w:numPr>
        <w:jc w:val="both"/>
      </w:pPr>
      <w:r>
        <w:t>The City has a goal of limiting the MSW generated and mitigating the impact of that MSW on civic infrastructure and the environment in accordance with the state mandated SWMP.</w:t>
      </w:r>
    </w:p>
    <w:p w:rsidR="003F7A29" w:rsidRPr="00DA4529" w:rsidRDefault="003F7A29" w:rsidP="00FE3A9E">
      <w:pPr>
        <w:pStyle w:val="ListParagraph"/>
        <w:numPr>
          <w:ilvl w:val="0"/>
          <w:numId w:val="10"/>
        </w:numPr>
        <w:jc w:val="both"/>
      </w:pPr>
      <w:r w:rsidRPr="00DA4529">
        <w:t xml:space="preserve">The city’s municipal management system is primarily concerned </w:t>
      </w:r>
      <w:r w:rsidR="00EC39D7">
        <w:t>with</w:t>
      </w:r>
      <w:r w:rsidRPr="00DA4529">
        <w:t xml:space="preserve"> the solid waste generation from any large new developments, therefore a thorough assessment considering the solid waste generation that will </w:t>
      </w:r>
      <w:r w:rsidR="00BB1EFC">
        <w:t>a</w:t>
      </w:r>
      <w:r w:rsidRPr="00DA4529">
        <w:t xml:space="preserve">ffect the existing </w:t>
      </w:r>
      <w:r w:rsidR="00EC39D7">
        <w:t>MSW</w:t>
      </w:r>
      <w:r w:rsidRPr="00DA4529">
        <w:t xml:space="preserve"> management system should be undertaken for all large projects</w:t>
      </w:r>
      <w:r w:rsidR="002A12B8">
        <w:t>.</w:t>
      </w:r>
    </w:p>
    <w:p w:rsidR="003F7A29" w:rsidRDefault="00BB1EFC" w:rsidP="00FE3A9E">
      <w:pPr>
        <w:pStyle w:val="ListParagraph"/>
        <w:numPr>
          <w:ilvl w:val="0"/>
          <w:numId w:val="10"/>
        </w:numPr>
        <w:jc w:val="both"/>
      </w:pPr>
      <w:r>
        <w:lastRenderedPageBreak/>
        <w:t>A</w:t>
      </w:r>
      <w:r w:rsidR="003F7A29" w:rsidRPr="00DA4529">
        <w:t>nalysis is limited to the solid waste generation during use of the facility</w:t>
      </w:r>
      <w:r>
        <w:t>.</w:t>
      </w:r>
      <w:r w:rsidR="003F7A29" w:rsidRPr="00DA4529">
        <w:t xml:space="preserve"> </w:t>
      </w:r>
      <w:r>
        <w:t>T</w:t>
      </w:r>
      <w:r w:rsidR="003F7A29" w:rsidRPr="00DA4529">
        <w:t>his analysis will be used to complete the EIS for this project and obtain all necessary permit required to proceed with the project.</w:t>
      </w:r>
    </w:p>
    <w:p w:rsidR="001A4CE8" w:rsidRPr="00DA4529" w:rsidRDefault="001A4CE8" w:rsidP="00FE3A9E">
      <w:pPr>
        <w:pStyle w:val="ListParagraph"/>
        <w:numPr>
          <w:ilvl w:val="0"/>
          <w:numId w:val="10"/>
        </w:numPr>
        <w:jc w:val="both"/>
      </w:pPr>
      <w:r>
        <w:t>Significant adverse impact threshold is set at a net increase of 50 tons MSW/week for the build condition.</w:t>
      </w:r>
    </w:p>
    <w:p w:rsidR="003F7A29" w:rsidRPr="00DA4529" w:rsidRDefault="003F7A29" w:rsidP="00DA4529">
      <w:pPr>
        <w:pStyle w:val="ListParagraph"/>
        <w:numPr>
          <w:ilvl w:val="0"/>
          <w:numId w:val="10"/>
        </w:numPr>
        <w:jc w:val="both"/>
      </w:pPr>
      <w:r w:rsidRPr="00DA4529">
        <w:t xml:space="preserve">This report will be used to determine whether the proposed </w:t>
      </w:r>
      <w:r w:rsidR="00EC39D7">
        <w:t>project</w:t>
      </w:r>
      <w:r w:rsidRPr="00DA4529">
        <w:t xml:space="preserve"> reduc</w:t>
      </w:r>
      <w:r w:rsidR="00EC39D7">
        <w:t>es demand relative to</w:t>
      </w:r>
      <w:r w:rsidRPr="00DA4529">
        <w:t xml:space="preserve"> the current solid waste generation and</w:t>
      </w:r>
      <w:r w:rsidR="00EC39D7">
        <w:t>, if not, whether the increase is significantly adverse</w:t>
      </w:r>
      <w:r w:rsidRPr="00DA4529">
        <w:t>.</w:t>
      </w:r>
    </w:p>
    <w:p w:rsidR="00BB1EFC" w:rsidRPr="00BB1EFC" w:rsidRDefault="007B4B3B" w:rsidP="00BB1EFC">
      <w:pPr>
        <w:rPr>
          <w:sz w:val="28"/>
          <w:szCs w:val="28"/>
        </w:rPr>
      </w:pPr>
      <w:bookmarkStart w:id="9" w:name="_Toc290524333"/>
      <w:r>
        <w:rPr>
          <w:sz w:val="28"/>
          <w:szCs w:val="28"/>
        </w:rPr>
        <w:t xml:space="preserve">3.1 </w:t>
      </w:r>
      <w:r w:rsidR="00BB1EFC" w:rsidRPr="00BB1EFC">
        <w:rPr>
          <w:sz w:val="28"/>
          <w:szCs w:val="28"/>
        </w:rPr>
        <w:t>Municipal solid waste</w:t>
      </w:r>
    </w:p>
    <w:p w:rsidR="00BB1EFC" w:rsidRPr="00DA4529" w:rsidRDefault="00BB1EFC" w:rsidP="004775C9">
      <w:pPr>
        <w:jc w:val="both"/>
      </w:pPr>
      <w:r w:rsidRPr="00DA4529">
        <w:t>Municipal solid waste is that waste generated by residences, public schools, and city agencies and collected in street bins and from street sweeping operation within the project footprint.  It include</w:t>
      </w:r>
      <w:r>
        <w:t>s</w:t>
      </w:r>
      <w:r w:rsidRPr="00DA4529">
        <w:t xml:space="preserve"> </w:t>
      </w:r>
      <w:r>
        <w:t xml:space="preserve">neither </w:t>
      </w:r>
      <w:r w:rsidRPr="00DA4529">
        <w:t xml:space="preserve">construction debris nor sewage.  Municipal solid waste comprises refuse and recyclables, where </w:t>
      </w:r>
      <w:r w:rsidRPr="00DA4529">
        <w:rPr>
          <w:i/>
        </w:rPr>
        <w:t>refuse</w:t>
      </w:r>
      <w:r w:rsidRPr="00DA4529">
        <w:t xml:space="preserve"> refers to everyday garbage from which mandated recyclables have been sorted (The City of New York, 2010).</w:t>
      </w:r>
      <w:r w:rsidR="000110E9">
        <w:t xml:space="preserve"> Municipal solid waste, both refuse and mandated recyclables, is collected by DSNY trucks and carted to transfer stations for sorting. Recyclables are sorted and sold, and refuse is trucked to landfills outside New York City.</w:t>
      </w:r>
    </w:p>
    <w:bookmarkEnd w:id="9"/>
    <w:p w:rsidR="003F7A29" w:rsidRPr="00BB1EFC" w:rsidRDefault="007B4B3B" w:rsidP="004775C9">
      <w:pPr>
        <w:jc w:val="both"/>
        <w:rPr>
          <w:sz w:val="28"/>
          <w:szCs w:val="28"/>
        </w:rPr>
      </w:pPr>
      <w:r>
        <w:rPr>
          <w:sz w:val="28"/>
          <w:szCs w:val="28"/>
        </w:rPr>
        <w:t xml:space="preserve">3.2 </w:t>
      </w:r>
      <w:r w:rsidR="000110E9">
        <w:rPr>
          <w:sz w:val="28"/>
          <w:szCs w:val="28"/>
        </w:rPr>
        <w:t>Commercial Solid Waste</w:t>
      </w:r>
    </w:p>
    <w:p w:rsidR="003F7A29" w:rsidRDefault="003F7A29" w:rsidP="004775C9">
      <w:pPr>
        <w:jc w:val="both"/>
      </w:pPr>
      <w:r>
        <w:t>Commercial establishments such as restaurants, retail facilities and offices will be considered for their routine solid waste generatio</w:t>
      </w:r>
      <w:r w:rsidR="00B95049">
        <w:t xml:space="preserve">n. </w:t>
      </w:r>
      <w:r w:rsidR="00FE6975">
        <w:t>S</w:t>
      </w:r>
      <w:r w:rsidR="00B95049">
        <w:t>olid waste</w:t>
      </w:r>
      <w:r w:rsidR="00BF4B3A">
        <w:t>,</w:t>
      </w:r>
      <w:r w:rsidR="00B95049">
        <w:t xml:space="preserve"> </w:t>
      </w:r>
      <w:r w:rsidR="00FE6975">
        <w:t>including</w:t>
      </w:r>
      <w:r w:rsidR="00B95049">
        <w:t xml:space="preserve"> </w:t>
      </w:r>
      <w:r w:rsidR="00FE6975">
        <w:t>refuse, recyclables, and organic waste</w:t>
      </w:r>
      <w:r w:rsidR="00BF4B3A">
        <w:t>,</w:t>
      </w:r>
      <w:r w:rsidR="00FE6975">
        <w:t xml:space="preserve"> is collected by commercial haulers and transported to private</w:t>
      </w:r>
      <w:r w:rsidR="00BF4B3A">
        <w:t xml:space="preserve"> transfer facilities by truck. Once t</w:t>
      </w:r>
      <w:r w:rsidR="00FE6975">
        <w:t>here, it is s</w:t>
      </w:r>
      <w:r w:rsidR="00BF4B3A">
        <w:t>orted, the recyclables are sold</w:t>
      </w:r>
      <w:r w:rsidR="00FE6975">
        <w:t xml:space="preserve"> and the remainder is trucked to power generation facilities for incineration or to landfills.</w:t>
      </w:r>
    </w:p>
    <w:p w:rsidR="003F7A29" w:rsidRPr="00FE6975" w:rsidRDefault="007B4B3B" w:rsidP="004775C9">
      <w:pPr>
        <w:jc w:val="both"/>
        <w:rPr>
          <w:sz w:val="28"/>
          <w:szCs w:val="28"/>
        </w:rPr>
      </w:pPr>
      <w:r>
        <w:rPr>
          <w:sz w:val="28"/>
          <w:szCs w:val="28"/>
        </w:rPr>
        <w:t xml:space="preserve">3.3 </w:t>
      </w:r>
      <w:r w:rsidR="00FE6975" w:rsidRPr="00FE6975">
        <w:rPr>
          <w:sz w:val="28"/>
          <w:szCs w:val="28"/>
        </w:rPr>
        <w:t>Designated Recyclable Solid Waste</w:t>
      </w:r>
    </w:p>
    <w:p w:rsidR="003F7A29" w:rsidRDefault="003F7A29" w:rsidP="004775C9">
      <w:pPr>
        <w:jc w:val="both"/>
      </w:pPr>
      <w:r>
        <w:t xml:space="preserve">Designated recyclable materials, all </w:t>
      </w:r>
      <w:r w:rsidR="00FE6975">
        <w:t>MSW</w:t>
      </w:r>
      <w:r>
        <w:t xml:space="preserve"> such as plastics, glass bottles, clothing, aluminum foil, metal containers, beverage cartons, </w:t>
      </w:r>
      <w:r w:rsidR="001C0D5D">
        <w:t>news</w:t>
      </w:r>
      <w:r w:rsidR="00FE6975">
        <w:t>paper</w:t>
      </w:r>
      <w:r w:rsidR="001C0D5D">
        <w:t>s</w:t>
      </w:r>
      <w:r w:rsidR="00FE6975">
        <w:t xml:space="preserve"> and magazines are sorted on site</w:t>
      </w:r>
      <w:r w:rsidR="001C0D5D">
        <w:t xml:space="preserve"> for pickup by designated DSNY recycling trucks</w:t>
      </w:r>
      <w:r w:rsidR="00FE6975">
        <w:t xml:space="preserve">, in the case of residential and institutional sources, </w:t>
      </w:r>
      <w:r w:rsidR="00BF4B3A">
        <w:t>or</w:t>
      </w:r>
      <w:r w:rsidR="001C0D5D">
        <w:t xml:space="preserve"> are sorted</w:t>
      </w:r>
      <w:r w:rsidR="00FE6975">
        <w:t xml:space="preserve"> </w:t>
      </w:r>
      <w:r w:rsidR="001C0D5D">
        <w:t xml:space="preserve">from the refuse </w:t>
      </w:r>
      <w:r w:rsidR="00FE6975">
        <w:t>at transfer facilities in the case of commercial sources.</w:t>
      </w:r>
    </w:p>
    <w:p w:rsidR="002A12B8" w:rsidRDefault="007B4B3B" w:rsidP="004775C9">
      <w:pPr>
        <w:jc w:val="both"/>
        <w:rPr>
          <w:sz w:val="28"/>
          <w:szCs w:val="28"/>
        </w:rPr>
      </w:pPr>
      <w:r>
        <w:rPr>
          <w:sz w:val="28"/>
          <w:szCs w:val="28"/>
        </w:rPr>
        <w:t xml:space="preserve">3.4 </w:t>
      </w:r>
      <w:r w:rsidR="002A12B8">
        <w:rPr>
          <w:sz w:val="28"/>
          <w:szCs w:val="28"/>
        </w:rPr>
        <w:t>Special Waste</w:t>
      </w:r>
    </w:p>
    <w:p w:rsidR="002A12B8" w:rsidRDefault="002A12B8" w:rsidP="004775C9">
      <w:pPr>
        <w:jc w:val="both"/>
      </w:pPr>
      <w:r>
        <w:t xml:space="preserve">Special Waste refers to regulated medical waste and hazardous materials such as laboratory waste or radioactive waste, the disposal of which is separate from MSW and restricted to </w:t>
      </w:r>
      <w:r w:rsidR="00CE3147">
        <w:t xml:space="preserve">additionally </w:t>
      </w:r>
      <w:r>
        <w:t xml:space="preserve">licensed carriers. Regulated medical waste and some laboratory waste are carted for incineration. Radioactive waste is held on site in a designated storage area until such time as radioactive decay has rendered it </w:t>
      </w:r>
      <w:r w:rsidR="00CE3147">
        <w:t xml:space="preserve">sufficiently </w:t>
      </w:r>
      <w:r>
        <w:t>inert, at which time it is carted and landfilled according to regulations by a licensed carrier.</w:t>
      </w:r>
    </w:p>
    <w:p w:rsidR="00A00CEA" w:rsidRDefault="007B4B3B" w:rsidP="004775C9">
      <w:pPr>
        <w:jc w:val="both"/>
        <w:rPr>
          <w:sz w:val="28"/>
          <w:szCs w:val="28"/>
        </w:rPr>
      </w:pPr>
      <w:r>
        <w:rPr>
          <w:sz w:val="28"/>
          <w:szCs w:val="28"/>
        </w:rPr>
        <w:t xml:space="preserve">3.5 </w:t>
      </w:r>
      <w:r w:rsidR="00A00CEA">
        <w:rPr>
          <w:sz w:val="28"/>
          <w:szCs w:val="28"/>
        </w:rPr>
        <w:t>Mitigation: description of Solid Waste Management</w:t>
      </w:r>
    </w:p>
    <w:p w:rsidR="00A00CEA" w:rsidRPr="00A00CEA" w:rsidRDefault="00A00CEA" w:rsidP="002B0217">
      <w:pPr>
        <w:tabs>
          <w:tab w:val="left" w:pos="3315"/>
        </w:tabs>
        <w:jc w:val="both"/>
      </w:pPr>
      <w:r>
        <w:t xml:space="preserve">According to SEQR (2010), solid waste management concentrates on “waste prevention first, followed by reuse, recycling, or composting, deriving energy from non-recyclable waste in </w:t>
      </w:r>
      <w:r>
        <w:lastRenderedPageBreak/>
        <w:t xml:space="preserve">environmentally acceptable ways, and disposal by landfilling.” </w:t>
      </w:r>
      <w:r w:rsidR="002B0217">
        <w:t xml:space="preserve">CEQR 14.311 states that features that minimize waste, beyond those required by law should be identified.  Many of the suggested features are a standard part of modern institutional design and are components of new building within the project area.  Such features are identified through survey of existing measures which qualify under CEQR and </w:t>
      </w:r>
      <w:r w:rsidR="00A90C9C">
        <w:t xml:space="preserve">through </w:t>
      </w:r>
      <w:r w:rsidR="002B0217">
        <w:t xml:space="preserve">examination of new potentials for further mitigation. </w:t>
      </w:r>
      <w:r>
        <w:t xml:space="preserve">For waste minimization, several propositions can be made for the project and are outlined in </w:t>
      </w:r>
      <w:r w:rsidR="00A90C9C" w:rsidRPr="00A90C9C">
        <w:t>section 5.3.3</w:t>
      </w:r>
      <w:r w:rsidR="002B0217">
        <w:t xml:space="preserve">. </w:t>
      </w:r>
    </w:p>
    <w:p w:rsidR="00FE3A9E" w:rsidRDefault="007B4B3B" w:rsidP="004775C9">
      <w:pPr>
        <w:jc w:val="both"/>
        <w:rPr>
          <w:sz w:val="28"/>
          <w:szCs w:val="28"/>
        </w:rPr>
      </w:pPr>
      <w:r>
        <w:rPr>
          <w:sz w:val="28"/>
          <w:szCs w:val="28"/>
        </w:rPr>
        <w:t xml:space="preserve">3.6 </w:t>
      </w:r>
      <w:r w:rsidR="00FE3A9E" w:rsidRPr="00FE6975">
        <w:rPr>
          <w:sz w:val="28"/>
          <w:szCs w:val="28"/>
        </w:rPr>
        <w:t>Regulations and Standards</w:t>
      </w:r>
    </w:p>
    <w:p w:rsidR="001E2019" w:rsidRPr="001E2019" w:rsidRDefault="001E2019" w:rsidP="001E2019">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t>New York State Solid Waste Management Act of 1988, codified at article 27, Title 1 of the New York State Environmental Conservation law (ECL</w:t>
      </w:r>
      <w:r w:rsidRPr="001E2019">
        <w:t xml:space="preserve">). </w:t>
      </w:r>
      <w:r w:rsidRPr="001E2019">
        <w:rPr>
          <w:rFonts w:eastAsia="Times New Roman" w:cs="Courier New"/>
        </w:rPr>
        <w:t>§ 27-0101(1), (2),</w:t>
      </w:r>
      <w:r w:rsidRPr="001E2019">
        <w:rPr>
          <w:rFonts w:ascii="Courier New" w:eastAsia="Times New Roman" w:hAnsi="Courier New" w:cs="Courier New"/>
          <w:sz w:val="20"/>
          <w:szCs w:val="20"/>
        </w:rPr>
        <w:t xml:space="preserve"> </w:t>
      </w:r>
      <w:r w:rsidRPr="001E2019">
        <w:t>§ 27-0103(1),</w:t>
      </w:r>
      <w:r>
        <w:t xml:space="preserve"> </w:t>
      </w:r>
      <w:r w:rsidRPr="001E2019">
        <w:t>(2a),</w:t>
      </w:r>
      <w:r>
        <w:t xml:space="preserve"> </w:t>
      </w:r>
      <w:r w:rsidRPr="001E2019">
        <w:t>(2b),</w:t>
      </w:r>
      <w:r>
        <w:t xml:space="preserve"> </w:t>
      </w:r>
      <w:r w:rsidRPr="001E2019">
        <w:t>(2c),</w:t>
      </w:r>
      <w:r>
        <w:t xml:space="preserve"> </w:t>
      </w:r>
      <w:r w:rsidRPr="001E2019">
        <w:t>(3a),</w:t>
      </w:r>
      <w:r>
        <w:t xml:space="preserve"> </w:t>
      </w:r>
      <w:r w:rsidRPr="001E2019">
        <w:t>(3b)</w:t>
      </w:r>
      <w:r>
        <w:t xml:space="preserve">, </w:t>
      </w:r>
      <w:r w:rsidRPr="001E2019">
        <w:t>§27-0106(1a)</w:t>
      </w:r>
      <w:r>
        <w:t xml:space="preserve">,  </w:t>
      </w:r>
      <w:r w:rsidRPr="001E2019">
        <w:t>§ 27-0107(1a),</w:t>
      </w:r>
      <w:r>
        <w:t xml:space="preserve"> </w:t>
      </w:r>
      <w:r w:rsidRPr="001E2019">
        <w:t>(1b(i)),</w:t>
      </w:r>
      <w:r>
        <w:t xml:space="preserve"> </w:t>
      </w:r>
      <w:r w:rsidRPr="001E2019">
        <w:t>(1b(ii)),</w:t>
      </w:r>
      <w:r>
        <w:t xml:space="preserve"> </w:t>
      </w:r>
      <w:r w:rsidRPr="001E2019">
        <w:t>(1b(iii))</w:t>
      </w:r>
    </w:p>
    <w:p w:rsidR="001E2019" w:rsidRPr="001E2019" w:rsidRDefault="001E2019" w:rsidP="001E20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E2019" w:rsidRPr="001E2019" w:rsidRDefault="001E2019" w:rsidP="001E2019">
      <w:pPr>
        <w:pStyle w:val="ListParagraph"/>
        <w:numPr>
          <w:ilvl w:val="0"/>
          <w:numId w:val="34"/>
        </w:numPr>
        <w:jc w:val="both"/>
      </w:pPr>
      <w:r>
        <w:t>Title 6 of the New York Codes, Rules and Regulations (6 NYCRR) Part 360, Subpart 15, Comprehensive Solid Waste Management Planning.</w:t>
      </w:r>
      <w:r w:rsidRPr="001E2019">
        <w:t xml:space="preserve"> </w:t>
      </w:r>
      <w:r w:rsidRPr="001E2019">
        <w:rPr>
          <w:rFonts w:cs="Courier New"/>
        </w:rPr>
        <w:t>§360-15.9(a),</w:t>
      </w:r>
      <w:r>
        <w:rPr>
          <w:rFonts w:cs="Courier New"/>
        </w:rPr>
        <w:t xml:space="preserve"> </w:t>
      </w:r>
      <w:r w:rsidRPr="001E2019">
        <w:rPr>
          <w:rFonts w:cs="Courier New"/>
        </w:rPr>
        <w:t>(b),</w:t>
      </w:r>
      <w:r>
        <w:rPr>
          <w:rFonts w:cs="Courier New"/>
        </w:rPr>
        <w:t xml:space="preserve"> </w:t>
      </w:r>
      <w:r w:rsidRPr="001E2019">
        <w:rPr>
          <w:rFonts w:cs="Courier New"/>
        </w:rPr>
        <w:t>(c),</w:t>
      </w:r>
      <w:r>
        <w:rPr>
          <w:rFonts w:cs="Courier New"/>
        </w:rPr>
        <w:t xml:space="preserve"> </w:t>
      </w:r>
      <w:r w:rsidRPr="001E2019">
        <w:rPr>
          <w:rFonts w:cs="Courier New"/>
        </w:rPr>
        <w:t>(d),</w:t>
      </w:r>
      <w:r>
        <w:rPr>
          <w:rFonts w:cs="Courier New"/>
        </w:rPr>
        <w:t xml:space="preserve"> </w:t>
      </w:r>
      <w:r w:rsidRPr="001E2019">
        <w:rPr>
          <w:rFonts w:cs="Courier New"/>
        </w:rPr>
        <w:t>(e),</w:t>
      </w:r>
      <w:r>
        <w:rPr>
          <w:rFonts w:cs="Courier New"/>
        </w:rPr>
        <w:t xml:space="preserve"> </w:t>
      </w:r>
      <w:r w:rsidRPr="001E2019">
        <w:rPr>
          <w:rFonts w:cs="Courier New"/>
        </w:rPr>
        <w:t>(f),</w:t>
      </w:r>
      <w:r>
        <w:rPr>
          <w:rFonts w:cs="Courier New"/>
        </w:rPr>
        <w:t xml:space="preserve"> </w:t>
      </w:r>
      <w:r w:rsidRPr="001E2019">
        <w:rPr>
          <w:rFonts w:cs="Courier New"/>
        </w:rPr>
        <w:t>(g),</w:t>
      </w:r>
      <w:r w:rsidR="001234D7">
        <w:rPr>
          <w:rFonts w:cs="Courier New"/>
        </w:rPr>
        <w:t>(h)</w:t>
      </w:r>
    </w:p>
    <w:p w:rsidR="00FE3A9E" w:rsidRDefault="00FE3A9E" w:rsidP="001E2019">
      <w:pPr>
        <w:numPr>
          <w:ilvl w:val="0"/>
          <w:numId w:val="36"/>
        </w:numPr>
        <w:jc w:val="both"/>
      </w:pPr>
      <w:r>
        <w:t> City  of  New  York  Comprehensive  Solid  Waste  Management  Plan  (2006).  </w:t>
      </w:r>
    </w:p>
    <w:p w:rsidR="00FE3A9E" w:rsidRDefault="00FE3A9E" w:rsidP="001E2019">
      <w:pPr>
        <w:pStyle w:val="ListParagraph"/>
        <w:numPr>
          <w:ilvl w:val="0"/>
          <w:numId w:val="36"/>
        </w:numPr>
      </w:pPr>
      <w:r>
        <w:t>New  York  City  Recycling  Law,  Local  Law  19  of  1989,  codified  at Section  16-</w:t>
      </w:r>
      <w:r w:rsidR="007E2454">
        <w:t xml:space="preserve">  </w:t>
      </w:r>
      <w:r>
        <w:t xml:space="preserve">301  et  seq.  of  the  Administrative  Code  of  the  City  of  New  York.    </w:t>
      </w:r>
      <w:r w:rsidR="001E2019">
        <w:t>§ 16-304, § 16-305, §16-316</w:t>
      </w:r>
    </w:p>
    <w:p w:rsidR="00A5705A" w:rsidRDefault="007B4B3B" w:rsidP="00032526">
      <w:pPr>
        <w:pStyle w:val="Heading1"/>
      </w:pPr>
      <w:bookmarkStart w:id="10" w:name="_Toc290524335"/>
      <w:bookmarkStart w:id="11" w:name="_Toc292629341"/>
      <w:r>
        <w:t xml:space="preserve">4.0 </w:t>
      </w:r>
      <w:r w:rsidR="00A5705A">
        <w:t>Methods and Procedures</w:t>
      </w:r>
      <w:bookmarkEnd w:id="10"/>
      <w:bookmarkEnd w:id="11"/>
    </w:p>
    <w:p w:rsidR="0019028F" w:rsidRPr="0019028F" w:rsidRDefault="00A5705A" w:rsidP="0019028F">
      <w:pPr>
        <w:jc w:val="both"/>
      </w:pPr>
      <w:r>
        <w:t xml:space="preserve">Data collection for analysis of solid waste </w:t>
      </w:r>
      <w:r w:rsidR="0069635C">
        <w:t>generation</w:t>
      </w:r>
      <w:r>
        <w:t xml:space="preserve"> for the</w:t>
      </w:r>
      <w:r w:rsidR="0069635C">
        <w:t xml:space="preserve"> existing</w:t>
      </w:r>
      <w:r>
        <w:t xml:space="preserve"> </w:t>
      </w:r>
      <w:r w:rsidR="0069635C">
        <w:t>and p</w:t>
      </w:r>
      <w:r>
        <w:t>roject build condition</w:t>
      </w:r>
      <w:r w:rsidR="0069635C">
        <w:t>s</w:t>
      </w:r>
      <w:r>
        <w:t xml:space="preserve"> follows the </w:t>
      </w:r>
      <w:r w:rsidR="0069635C">
        <w:t>three existing types of waste generators: residential, commercial and institutional</w:t>
      </w:r>
      <w:r w:rsidR="008D7EE0">
        <w:t>,</w:t>
      </w:r>
      <w:r w:rsidR="0069635C">
        <w:t xml:space="preserve"> and the p</w:t>
      </w:r>
      <w:r>
        <w:t xml:space="preserve">rojects two main types of facilities: dormitories and academic buildings.  </w:t>
      </w:r>
      <w:r w:rsidR="0069635C">
        <w:t xml:space="preserve">Data for estimating </w:t>
      </w:r>
      <w:r w:rsidR="008D7EE0">
        <w:t xml:space="preserve">existing </w:t>
      </w:r>
      <w:r w:rsidR="0069635C">
        <w:t xml:space="preserve">residential units </w:t>
      </w:r>
      <w:r w:rsidR="00604D97">
        <w:t>is</w:t>
      </w:r>
      <w:r w:rsidR="0069635C">
        <w:t xml:space="preserve"> obtained from the City’s building and tax data at its GIS web portal (</w:t>
      </w:r>
      <w:r w:rsidR="00604D97">
        <w:t>City of New York, 2011</w:t>
      </w:r>
      <w:r w:rsidR="0069635C">
        <w:t>). A survey of project area co</w:t>
      </w:r>
      <w:r w:rsidR="00604D97">
        <w:t>mmercial establishments provides</w:t>
      </w:r>
      <w:r w:rsidR="0069635C">
        <w:t xml:space="preserve"> data for estimating commercial waste genera</w:t>
      </w:r>
      <w:r w:rsidR="00E00F68">
        <w:t>tion. Internet research reveals</w:t>
      </w:r>
      <w:r w:rsidR="0069635C">
        <w:t xml:space="preserve"> important statistics regarding the public school within the project area.</w:t>
      </w:r>
      <w:r w:rsidR="00604D97">
        <w:t xml:space="preserve"> Formulae for estimating MSW generation for each type of generator are created based on </w:t>
      </w:r>
      <w:r w:rsidR="00C75548">
        <w:t>Table 1, which gives MSW generation rates by building or unit type.</w:t>
      </w:r>
      <w:bookmarkStart w:id="12" w:name="_Toc290524336"/>
    </w:p>
    <w:p w:rsidR="00C75548" w:rsidRPr="00F20434" w:rsidRDefault="00F20434" w:rsidP="00F20434">
      <w:pPr>
        <w:pStyle w:val="Caption"/>
        <w:rPr>
          <w:b w:val="0"/>
          <w:i/>
          <w:color w:val="auto"/>
          <w:sz w:val="22"/>
          <w:szCs w:val="22"/>
        </w:rPr>
      </w:pPr>
      <w:bookmarkStart w:id="13" w:name="_Toc292580396"/>
      <w:r w:rsidRPr="00F20434">
        <w:rPr>
          <w:b w:val="0"/>
          <w:color w:val="auto"/>
          <w:sz w:val="22"/>
          <w:szCs w:val="22"/>
        </w:rPr>
        <w:t xml:space="preserve">Table </w:t>
      </w:r>
      <w:r w:rsidRPr="00F20434">
        <w:rPr>
          <w:b w:val="0"/>
          <w:color w:val="auto"/>
          <w:sz w:val="22"/>
          <w:szCs w:val="22"/>
        </w:rPr>
        <w:fldChar w:fldCharType="begin"/>
      </w:r>
      <w:r w:rsidRPr="00F20434">
        <w:rPr>
          <w:b w:val="0"/>
          <w:color w:val="auto"/>
          <w:sz w:val="22"/>
          <w:szCs w:val="22"/>
        </w:rPr>
        <w:instrText xml:space="preserve"> SEQ Table \* ARABIC </w:instrText>
      </w:r>
      <w:r w:rsidRPr="00F20434">
        <w:rPr>
          <w:b w:val="0"/>
          <w:color w:val="auto"/>
          <w:sz w:val="22"/>
          <w:szCs w:val="22"/>
        </w:rPr>
        <w:fldChar w:fldCharType="separate"/>
      </w:r>
      <w:r w:rsidR="00DD0A90">
        <w:rPr>
          <w:b w:val="0"/>
          <w:noProof/>
          <w:color w:val="auto"/>
          <w:sz w:val="22"/>
          <w:szCs w:val="22"/>
        </w:rPr>
        <w:t>1</w:t>
      </w:r>
      <w:r w:rsidRPr="00F20434">
        <w:rPr>
          <w:b w:val="0"/>
          <w:color w:val="auto"/>
          <w:sz w:val="22"/>
          <w:szCs w:val="22"/>
        </w:rPr>
        <w:fldChar w:fldCharType="end"/>
      </w:r>
      <w:r w:rsidRPr="00F20434">
        <w:rPr>
          <w:b w:val="0"/>
          <w:color w:val="auto"/>
          <w:sz w:val="22"/>
          <w:szCs w:val="22"/>
        </w:rPr>
        <w:t>: CEQR Table 14-1: Solid Waste Generation Rate</w:t>
      </w:r>
      <w:r w:rsidR="00FD5F0F" w:rsidRPr="00F20434">
        <w:rPr>
          <w:b w:val="0"/>
          <w:i/>
          <w:color w:val="auto"/>
          <w:sz w:val="22"/>
          <w:szCs w:val="22"/>
        </w:rPr>
        <w:t xml:space="preserve">. </w:t>
      </w:r>
      <w:r w:rsidR="007D24CC" w:rsidRPr="00F20434">
        <w:rPr>
          <w:b w:val="0"/>
          <w:i/>
          <w:color w:val="auto"/>
          <w:sz w:val="22"/>
          <w:szCs w:val="22"/>
        </w:rPr>
        <w:t>Table c</w:t>
      </w:r>
      <w:r w:rsidR="00FD5F0F" w:rsidRPr="00F20434">
        <w:rPr>
          <w:b w:val="0"/>
          <w:i/>
          <w:color w:val="auto"/>
          <w:sz w:val="22"/>
          <w:szCs w:val="22"/>
        </w:rPr>
        <w:t>ategories are used to classify the surveyed commercial businesses. Solid waste generation rates are used to calculate the total solid waste generation from all sources.</w:t>
      </w:r>
      <w:bookmarkEnd w:id="13"/>
    </w:p>
    <w:tbl>
      <w:tblPr>
        <w:tblW w:w="0" w:type="auto"/>
        <w:tblInd w:w="111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035"/>
        <w:gridCol w:w="1825"/>
      </w:tblGrid>
      <w:tr w:rsidR="00C75548" w:rsidRPr="00754FF0" w:rsidTr="0081282E">
        <w:trPr>
          <w:trHeight w:hRule="exact" w:val="216"/>
        </w:trPr>
        <w:tc>
          <w:tcPr>
            <w:tcW w:w="5860" w:type="dxa"/>
            <w:gridSpan w:val="2"/>
            <w:tcBorders>
              <w:top w:val="single" w:sz="6" w:space="0" w:color="000000"/>
              <w:bottom w:val="single" w:sz="8" w:space="0" w:color="000000"/>
            </w:tcBorders>
          </w:tcPr>
          <w:p w:rsidR="00C75548" w:rsidRPr="00754FF0" w:rsidRDefault="00FD5F0F" w:rsidP="0081282E">
            <w:pPr>
              <w:widowControl w:val="0"/>
              <w:autoSpaceDE w:val="0"/>
              <w:autoSpaceDN w:val="0"/>
              <w:adjustRightInd w:val="0"/>
              <w:jc w:val="both"/>
              <w:rPr>
                <w:rFonts w:ascii="Calibri" w:hAnsi="Calibri" w:cs="Calibri"/>
                <w:color w:val="000000"/>
                <w:sz w:val="16"/>
                <w:szCs w:val="23"/>
              </w:rPr>
            </w:pPr>
            <w:r>
              <w:rPr>
                <w:rFonts w:ascii="Calibri" w:hAnsi="Calibri" w:cs="Calibri"/>
                <w:bCs/>
                <w:color w:val="000000"/>
                <w:sz w:val="16"/>
                <w:szCs w:val="23"/>
              </w:rPr>
              <w:t xml:space="preserve">CEQR </w:t>
            </w:r>
            <w:r w:rsidR="00C75548" w:rsidRPr="00754FF0">
              <w:rPr>
                <w:rFonts w:ascii="Calibri" w:hAnsi="Calibri" w:cs="Calibri"/>
                <w:bCs/>
                <w:color w:val="000000"/>
                <w:sz w:val="16"/>
                <w:szCs w:val="23"/>
              </w:rPr>
              <w:t xml:space="preserve">Table 14‐1 </w:t>
            </w:r>
          </w:p>
          <w:p w:rsidR="00C75548" w:rsidRPr="00754FF0" w:rsidRDefault="00C75548" w:rsidP="0081282E">
            <w:pPr>
              <w:widowControl w:val="0"/>
              <w:autoSpaceDE w:val="0"/>
              <w:autoSpaceDN w:val="0"/>
              <w:adjustRightInd w:val="0"/>
              <w:jc w:val="both"/>
              <w:rPr>
                <w:rFonts w:ascii="Calibri" w:hAnsi="Calibri" w:cs="Calibri"/>
                <w:color w:val="000000"/>
                <w:sz w:val="16"/>
                <w:szCs w:val="23"/>
              </w:rPr>
            </w:pPr>
            <w:r w:rsidRPr="00754FF0">
              <w:rPr>
                <w:rFonts w:ascii="Calibri" w:hAnsi="Calibri" w:cs="Calibri"/>
                <w:bCs/>
                <w:color w:val="000000"/>
                <w:sz w:val="16"/>
                <w:szCs w:val="23"/>
              </w:rPr>
              <w:t xml:space="preserve">Solid Waste Generation Rates </w:t>
            </w:r>
          </w:p>
        </w:tc>
      </w:tr>
      <w:tr w:rsidR="00C75548" w:rsidRPr="00754FF0" w:rsidTr="0081282E">
        <w:trPr>
          <w:trHeight w:hRule="exact" w:val="216"/>
        </w:trPr>
        <w:tc>
          <w:tcPr>
            <w:tcW w:w="4035" w:type="dxa"/>
            <w:tcBorders>
              <w:top w:val="single" w:sz="8" w:space="0" w:color="000000"/>
              <w:left w:val="single" w:sz="8" w:space="0" w:color="000000"/>
              <w:bottom w:val="single" w:sz="8"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rPr>
            </w:pPr>
            <w:r w:rsidRPr="00754FF0">
              <w:rPr>
                <w:rFonts w:ascii="Calibri" w:hAnsi="Calibri" w:cs="Calibri"/>
                <w:b/>
                <w:bCs/>
                <w:color w:val="000000"/>
                <w:sz w:val="16"/>
              </w:rPr>
              <w:t xml:space="preserve">Use </w:t>
            </w:r>
          </w:p>
        </w:tc>
        <w:tc>
          <w:tcPr>
            <w:tcW w:w="1825" w:type="dxa"/>
            <w:tcBorders>
              <w:top w:val="single" w:sz="8" w:space="0" w:color="000000"/>
              <w:left w:val="single" w:sz="8" w:space="0" w:color="000000"/>
              <w:bottom w:val="single" w:sz="8" w:space="0" w:color="000000"/>
              <w:right w:val="single" w:sz="8" w:space="0" w:color="000000"/>
            </w:tcBorders>
          </w:tcPr>
          <w:p w:rsidR="00C75548" w:rsidRPr="00754FF0" w:rsidRDefault="00C75548" w:rsidP="0081282E">
            <w:pPr>
              <w:widowControl w:val="0"/>
              <w:autoSpaceDE w:val="0"/>
              <w:autoSpaceDN w:val="0"/>
              <w:adjustRightInd w:val="0"/>
              <w:rPr>
                <w:rFonts w:ascii="Calibri" w:hAnsi="Calibri" w:cs="Calibri"/>
                <w:color w:val="000000"/>
                <w:sz w:val="16"/>
              </w:rPr>
            </w:pPr>
            <w:r w:rsidRPr="00754FF0">
              <w:rPr>
                <w:rFonts w:ascii="Calibri" w:hAnsi="Calibri" w:cs="Calibri"/>
                <w:b/>
                <w:bCs/>
                <w:color w:val="000000"/>
                <w:sz w:val="16"/>
              </w:rPr>
              <w:t xml:space="preserve">Rate (pounds per week) </w:t>
            </w:r>
          </w:p>
        </w:tc>
      </w:tr>
      <w:tr w:rsidR="00C75548" w:rsidRPr="00754FF0" w:rsidTr="0081282E">
        <w:trPr>
          <w:trHeight w:hRule="exact" w:val="216"/>
        </w:trPr>
        <w:tc>
          <w:tcPr>
            <w:tcW w:w="5860" w:type="dxa"/>
            <w:gridSpan w:val="2"/>
            <w:tcBorders>
              <w:top w:val="single" w:sz="8"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b/>
                <w:bCs/>
                <w:color w:val="000000"/>
                <w:sz w:val="16"/>
                <w:szCs w:val="20"/>
              </w:rPr>
              <w:t xml:space="preserve">Residential </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Individual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17</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Household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41</w:t>
            </w:r>
          </w:p>
        </w:tc>
      </w:tr>
      <w:tr w:rsidR="00C75548" w:rsidRPr="00754FF0" w:rsidTr="0081282E">
        <w:trPr>
          <w:trHeight w:hRule="exact" w:val="216"/>
        </w:trPr>
        <w:tc>
          <w:tcPr>
            <w:tcW w:w="5860" w:type="dxa"/>
            <w:gridSpan w:val="2"/>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b/>
                <w:bCs/>
                <w:color w:val="000000"/>
                <w:sz w:val="16"/>
                <w:szCs w:val="20"/>
              </w:rPr>
              <w:t xml:space="preserve">Institutional </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Public Elementary School</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3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Public Intermediate School</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4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Public High School</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2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Private School (K‐8)</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Private School (6‐12)</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4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College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 per pupil</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Hospital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51 per bed</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Government Office</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0.03 per square foot</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lastRenderedPageBreak/>
              <w:t>Correctional Facility</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13 per inmate</w:t>
            </w:r>
          </w:p>
        </w:tc>
      </w:tr>
      <w:tr w:rsidR="00C75548" w:rsidRPr="00754FF0" w:rsidTr="0081282E">
        <w:trPr>
          <w:trHeight w:hRule="exact" w:val="216"/>
        </w:trPr>
        <w:tc>
          <w:tcPr>
            <w:tcW w:w="5860" w:type="dxa"/>
            <w:gridSpan w:val="2"/>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b/>
                <w:bCs/>
                <w:color w:val="000000"/>
                <w:sz w:val="16"/>
                <w:szCs w:val="20"/>
              </w:rPr>
              <w:t xml:space="preserve">Commercial </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Office Buildings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13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Single Offices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9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Wholesale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66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General Retail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79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Restaurants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251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Fast Food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200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Food Stores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284 per employee</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 xml:space="preserve">Hotels </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75 per employee</w:t>
            </w:r>
          </w:p>
        </w:tc>
      </w:tr>
      <w:tr w:rsidR="00C75548" w:rsidRPr="00754FF0" w:rsidTr="0081282E">
        <w:trPr>
          <w:trHeight w:hRule="exact" w:val="216"/>
        </w:trPr>
        <w:tc>
          <w:tcPr>
            <w:tcW w:w="5860" w:type="dxa"/>
            <w:gridSpan w:val="2"/>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b/>
                <w:bCs/>
                <w:color w:val="000000"/>
                <w:sz w:val="16"/>
                <w:szCs w:val="20"/>
              </w:rPr>
              <w:t xml:space="preserve">Industrial </w:t>
            </w:r>
          </w:p>
        </w:tc>
      </w:tr>
      <w:tr w:rsidR="00C75548" w:rsidRPr="00754FF0" w:rsidTr="0081282E">
        <w:trPr>
          <w:trHeight w:hRule="exact" w:val="216"/>
        </w:trPr>
        <w:tc>
          <w:tcPr>
            <w:tcW w:w="403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Apparel and Textile Manufacturing</w:t>
            </w:r>
          </w:p>
        </w:tc>
        <w:tc>
          <w:tcPr>
            <w:tcW w:w="1825" w:type="dxa"/>
            <w:tcBorders>
              <w:top w:val="single" w:sz="6" w:space="0" w:color="000000"/>
              <w:left w:val="single" w:sz="8" w:space="0" w:color="000000"/>
              <w:bottom w:val="single" w:sz="6"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125 per employee</w:t>
            </w:r>
          </w:p>
        </w:tc>
      </w:tr>
      <w:tr w:rsidR="00C75548" w:rsidRPr="00754FF0" w:rsidTr="0081282E">
        <w:trPr>
          <w:trHeight w:hRule="exact" w:val="216"/>
        </w:trPr>
        <w:tc>
          <w:tcPr>
            <w:tcW w:w="4035" w:type="dxa"/>
            <w:tcBorders>
              <w:top w:val="single" w:sz="6" w:space="0" w:color="000000"/>
              <w:left w:val="single" w:sz="8" w:space="0" w:color="000000"/>
              <w:bottom w:val="single" w:sz="8"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Printing/Publishing</w:t>
            </w:r>
          </w:p>
        </w:tc>
        <w:tc>
          <w:tcPr>
            <w:tcW w:w="1825" w:type="dxa"/>
            <w:tcBorders>
              <w:top w:val="single" w:sz="6" w:space="0" w:color="000000"/>
              <w:left w:val="single" w:sz="8" w:space="0" w:color="000000"/>
              <w:bottom w:val="single" w:sz="8" w:space="0" w:color="000000"/>
              <w:right w:val="single" w:sz="8"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6"/>
                <w:szCs w:val="20"/>
              </w:rPr>
            </w:pPr>
            <w:r w:rsidRPr="00754FF0">
              <w:rPr>
                <w:rFonts w:ascii="Calibri" w:hAnsi="Calibri" w:cs="Calibri"/>
                <w:color w:val="000000"/>
                <w:sz w:val="16"/>
                <w:szCs w:val="20"/>
              </w:rPr>
              <w:t>240 per employee</w:t>
            </w:r>
          </w:p>
        </w:tc>
      </w:tr>
      <w:tr w:rsidR="00C75548" w:rsidRPr="00754FF0" w:rsidTr="0081282E">
        <w:trPr>
          <w:trHeight w:hRule="exact" w:val="216"/>
        </w:trPr>
        <w:tc>
          <w:tcPr>
            <w:tcW w:w="5860" w:type="dxa"/>
            <w:gridSpan w:val="2"/>
            <w:tcBorders>
              <w:top w:val="single" w:sz="8" w:space="0" w:color="000000"/>
              <w:bottom w:val="single" w:sz="6" w:space="0" w:color="000000"/>
            </w:tcBorders>
          </w:tcPr>
          <w:p w:rsidR="00C75548" w:rsidRPr="00754FF0" w:rsidRDefault="00C75548" w:rsidP="0081282E">
            <w:pPr>
              <w:widowControl w:val="0"/>
              <w:autoSpaceDE w:val="0"/>
              <w:autoSpaceDN w:val="0"/>
              <w:adjustRightInd w:val="0"/>
              <w:jc w:val="both"/>
              <w:rPr>
                <w:rFonts w:ascii="Calibri" w:hAnsi="Calibri" w:cs="Calibri"/>
                <w:color w:val="000000"/>
                <w:sz w:val="10"/>
                <w:szCs w:val="16"/>
              </w:rPr>
            </w:pPr>
            <w:r w:rsidRPr="00754FF0">
              <w:rPr>
                <w:rFonts w:ascii="Calibri" w:hAnsi="Calibri" w:cs="Calibri"/>
                <w:b/>
                <w:bCs/>
                <w:color w:val="000000"/>
                <w:sz w:val="10"/>
                <w:szCs w:val="16"/>
              </w:rPr>
              <w:t xml:space="preserve">Source: </w:t>
            </w:r>
            <w:r w:rsidRPr="00754FF0">
              <w:rPr>
                <w:rFonts w:ascii="Calibri" w:hAnsi="Calibri" w:cs="Calibri"/>
                <w:color w:val="000000"/>
                <w:sz w:val="10"/>
                <w:szCs w:val="16"/>
              </w:rPr>
              <w:t xml:space="preserve">New York City Department of Sanitation </w:t>
            </w:r>
          </w:p>
        </w:tc>
      </w:tr>
    </w:tbl>
    <w:p w:rsidR="00C75548" w:rsidRDefault="007B4B3B" w:rsidP="001234D7">
      <w:pPr>
        <w:pStyle w:val="Heading2"/>
        <w:spacing w:before="240"/>
      </w:pPr>
      <w:bookmarkStart w:id="14" w:name="_Toc292629342"/>
      <w:r>
        <w:t xml:space="preserve">4.1 </w:t>
      </w:r>
      <w:r w:rsidR="00675CDA">
        <w:t>Existing Conditions</w:t>
      </w:r>
      <w:bookmarkEnd w:id="14"/>
    </w:p>
    <w:p w:rsidR="00F830B3" w:rsidRPr="002007C7" w:rsidRDefault="007B4B3B" w:rsidP="001234D7">
      <w:pPr>
        <w:spacing w:before="200" w:after="0"/>
        <w:rPr>
          <w:sz w:val="28"/>
          <w:szCs w:val="28"/>
        </w:rPr>
      </w:pPr>
      <w:r>
        <w:rPr>
          <w:sz w:val="28"/>
          <w:szCs w:val="28"/>
        </w:rPr>
        <w:t xml:space="preserve">4.1.1 </w:t>
      </w:r>
      <w:r w:rsidR="00F830B3" w:rsidRPr="002007C7">
        <w:rPr>
          <w:sz w:val="28"/>
          <w:szCs w:val="28"/>
        </w:rPr>
        <w:t>Residential</w:t>
      </w:r>
    </w:p>
    <w:p w:rsidR="0001715A" w:rsidRDefault="0069635C" w:rsidP="00052577">
      <w:pPr>
        <w:jc w:val="both"/>
      </w:pPr>
      <w:r>
        <w:t xml:space="preserve">The project area under existing conditions comprises, in part, eight residential blocks. </w:t>
      </w:r>
      <w:r w:rsidR="00604D97">
        <w:t>Information regarding r</w:t>
      </w:r>
      <w:r>
        <w:t>esidential</w:t>
      </w:r>
      <w:r w:rsidR="00604D97">
        <w:t xml:space="preserve"> units per building </w:t>
      </w:r>
      <w:r w:rsidR="00AB0682">
        <w:t>at NYCityMap (NYC, 2011) is used to estimate the number of residential units in the study area with the following formula:</w:t>
      </w:r>
    </w:p>
    <w:bookmarkStart w:id="15" w:name="_Toc292581074"/>
    <w:p w:rsidR="00AB0682" w:rsidRDefault="006A0F06" w:rsidP="001234D7">
      <w:pPr>
        <w:spacing w:after="120"/>
        <w:jc w:val="both"/>
      </w:pPr>
      <w:r w:rsidRPr="00143226">
        <w:rPr>
          <w:position w:val="-12"/>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11" o:title=""/>
          </v:shape>
          <o:OLEObject Type="Embed" ProgID="Equation.DSMT4" ShapeID="_x0000_i1025" DrawAspect="Content" ObjectID="_1366547008" r:id="rId12"/>
        </w:object>
      </w:r>
      <w:r w:rsidR="00143226">
        <w:tab/>
      </w:r>
      <w:r w:rsidR="00143226">
        <w:tab/>
      </w:r>
      <w:r w:rsidR="00143226">
        <w:tab/>
      </w:r>
      <w:r w:rsidR="00143226">
        <w:tab/>
      </w:r>
      <w:r w:rsidR="00143226">
        <w:tab/>
      </w:r>
      <w:r w:rsidR="00143226">
        <w:tab/>
      </w:r>
      <w:r w:rsidR="00143226">
        <w:tab/>
      </w:r>
      <w:r w:rsidR="00143226">
        <w:tab/>
      </w:r>
      <w:r w:rsidR="00143226">
        <w:tab/>
      </w:r>
      <w:r>
        <w:tab/>
      </w:r>
      <w:r>
        <w:tab/>
      </w:r>
      <w:r w:rsidR="00143226">
        <w:t>[</w:t>
      </w:r>
      <w:r w:rsidR="004F0349">
        <w:fldChar w:fldCharType="begin"/>
      </w:r>
      <w:r w:rsidR="004F0349">
        <w:instrText xml:space="preserve"> SEQ Equation \* ARABIC </w:instrText>
      </w:r>
      <w:r w:rsidR="004F0349">
        <w:fldChar w:fldCharType="separate"/>
      </w:r>
      <w:r w:rsidR="00DD0A90">
        <w:rPr>
          <w:noProof/>
        </w:rPr>
        <w:t>1</w:t>
      </w:r>
      <w:r w:rsidR="004F0349">
        <w:rPr>
          <w:noProof/>
        </w:rPr>
        <w:fldChar w:fldCharType="end"/>
      </w:r>
      <w:r w:rsidR="00143226">
        <w:t>]</w:t>
      </w:r>
      <w:bookmarkEnd w:id="15"/>
    </w:p>
    <w:p w:rsidR="00143226" w:rsidRDefault="00143226" w:rsidP="00713076">
      <w:pPr>
        <w:spacing w:after="0"/>
        <w:jc w:val="both"/>
      </w:pPr>
      <w:r w:rsidRPr="00910717">
        <w:rPr>
          <w:i/>
        </w:rPr>
        <w:t>U</w:t>
      </w:r>
      <w:r w:rsidR="006A0F06">
        <w:rPr>
          <w:i/>
          <w:vertAlign w:val="subscript"/>
        </w:rPr>
        <w:t>B</w:t>
      </w:r>
      <w:r>
        <w:t xml:space="preserve"> is number of units in </w:t>
      </w:r>
      <w:r w:rsidR="006A0F06">
        <w:t>a</w:t>
      </w:r>
      <w:r>
        <w:t xml:space="preserve"> sample block</w:t>
      </w:r>
    </w:p>
    <w:p w:rsidR="006A0F06" w:rsidRPr="006A0F06" w:rsidRDefault="006A0F06" w:rsidP="00713076">
      <w:pPr>
        <w:spacing w:after="0"/>
        <w:jc w:val="both"/>
      </w:pPr>
      <w:r>
        <w:rPr>
          <w:i/>
        </w:rPr>
        <w:t>B</w:t>
      </w:r>
      <w:r>
        <w:t xml:space="preserve"> is the number of residential blocks in the study area</w:t>
      </w:r>
    </w:p>
    <w:p w:rsidR="00143226" w:rsidRDefault="00143226" w:rsidP="00713076">
      <w:pPr>
        <w:jc w:val="both"/>
      </w:pPr>
      <w:r w:rsidRPr="00910717">
        <w:rPr>
          <w:i/>
        </w:rPr>
        <w:t>U</w:t>
      </w:r>
      <w:r w:rsidRPr="00910717">
        <w:rPr>
          <w:i/>
          <w:vertAlign w:val="subscript"/>
        </w:rPr>
        <w:t>T</w:t>
      </w:r>
      <w:r>
        <w:t xml:space="preserve"> is total units in study area</w:t>
      </w:r>
    </w:p>
    <w:p w:rsidR="00C75548" w:rsidRDefault="00C75548" w:rsidP="00052577">
      <w:pPr>
        <w:jc w:val="both"/>
      </w:pPr>
      <w:r>
        <w:t>For residential units, MSW can be calculated using Table 1 either based on the number of residents or on the number of residential units. For the existing condition, estimated number of residential units in the study area is used to calculate existing MSW load:</w:t>
      </w:r>
    </w:p>
    <w:bookmarkStart w:id="16" w:name="_Toc292581075"/>
    <w:p w:rsidR="00C75548" w:rsidRPr="007D6C29" w:rsidRDefault="006A0F06" w:rsidP="001234D7">
      <w:pPr>
        <w:pStyle w:val="Caption"/>
        <w:spacing w:after="120"/>
        <w:rPr>
          <w:b w:val="0"/>
          <w:color w:val="auto"/>
          <w:sz w:val="22"/>
          <w:szCs w:val="22"/>
        </w:rPr>
      </w:pPr>
      <w:r w:rsidRPr="00025438">
        <w:rPr>
          <w:position w:val="-24"/>
        </w:rPr>
        <w:object w:dxaOrig="2760" w:dyaOrig="620">
          <v:shape id="_x0000_i1026" type="#_x0000_t75" style="width:138pt;height:30.75pt" o:ole="">
            <v:imagedata r:id="rId13" o:title=""/>
          </v:shape>
          <o:OLEObject Type="Embed" ProgID="Equation.DSMT4" ShapeID="_x0000_i1026" DrawAspect="Content" ObjectID="_1366547009" r:id="rId14"/>
        </w:object>
      </w:r>
      <w:r w:rsidR="00C75548">
        <w:tab/>
      </w:r>
      <w:r w:rsidR="00C75548">
        <w:tab/>
      </w:r>
      <w:r w:rsidR="00C75548">
        <w:tab/>
      </w:r>
      <w:r w:rsidR="00C75548">
        <w:tab/>
      </w:r>
      <w:r w:rsidR="00C75548">
        <w:tab/>
      </w:r>
      <w:r w:rsidR="00C75548">
        <w:tab/>
      </w:r>
      <w:r w:rsidR="00C75548">
        <w:tab/>
      </w:r>
      <w:r w:rsidR="00B906C5">
        <w:tab/>
      </w:r>
      <w:r w:rsidR="005B4FF0">
        <w:tab/>
      </w:r>
      <w:r w:rsidR="00C75548" w:rsidRPr="007D6C29">
        <w:rPr>
          <w:b w:val="0"/>
          <w:color w:val="auto"/>
          <w:sz w:val="22"/>
          <w:szCs w:val="22"/>
        </w:rPr>
        <w:t>[</w:t>
      </w:r>
      <w:r w:rsidR="007D6C29" w:rsidRPr="007D6C29">
        <w:rPr>
          <w:b w:val="0"/>
          <w:color w:val="auto"/>
          <w:sz w:val="22"/>
          <w:szCs w:val="22"/>
        </w:rPr>
        <w:fldChar w:fldCharType="begin"/>
      </w:r>
      <w:r w:rsidR="007D6C29" w:rsidRPr="007D6C29">
        <w:rPr>
          <w:b w:val="0"/>
          <w:color w:val="auto"/>
          <w:sz w:val="22"/>
          <w:szCs w:val="22"/>
        </w:rPr>
        <w:instrText xml:space="preserve"> SEQ Equation \* ARABIC </w:instrText>
      </w:r>
      <w:r w:rsidR="007D6C29" w:rsidRPr="007D6C29">
        <w:rPr>
          <w:b w:val="0"/>
          <w:color w:val="auto"/>
          <w:sz w:val="22"/>
          <w:szCs w:val="22"/>
        </w:rPr>
        <w:fldChar w:fldCharType="separate"/>
      </w:r>
      <w:r w:rsidR="00DD0A90">
        <w:rPr>
          <w:b w:val="0"/>
          <w:noProof/>
          <w:color w:val="auto"/>
          <w:sz w:val="22"/>
          <w:szCs w:val="22"/>
        </w:rPr>
        <w:t>2</w:t>
      </w:r>
      <w:r w:rsidR="007D6C29" w:rsidRPr="007D6C29">
        <w:rPr>
          <w:b w:val="0"/>
          <w:color w:val="auto"/>
          <w:sz w:val="22"/>
          <w:szCs w:val="22"/>
        </w:rPr>
        <w:fldChar w:fldCharType="end"/>
      </w:r>
      <w:r w:rsidR="00C75548" w:rsidRPr="007D6C29">
        <w:rPr>
          <w:b w:val="0"/>
          <w:color w:val="auto"/>
          <w:sz w:val="22"/>
          <w:szCs w:val="22"/>
        </w:rPr>
        <w:t>]</w:t>
      </w:r>
      <w:bookmarkEnd w:id="16"/>
    </w:p>
    <w:p w:rsidR="007D32BF" w:rsidRDefault="00C75548" w:rsidP="00713076">
      <w:pPr>
        <w:spacing w:after="0"/>
        <w:jc w:val="both"/>
      </w:pPr>
      <w:r w:rsidRPr="00910717">
        <w:rPr>
          <w:i/>
        </w:rPr>
        <w:t>MSW</w:t>
      </w:r>
      <w:r w:rsidRPr="00910717">
        <w:rPr>
          <w:i/>
          <w:vertAlign w:val="subscript"/>
        </w:rPr>
        <w:t>ER</w:t>
      </w:r>
      <w:r>
        <w:t xml:space="preserve"> is Municipal Solid Waste generated</w:t>
      </w:r>
      <w:r w:rsidR="00025438">
        <w:t xml:space="preserve"> in tons per week</w:t>
      </w:r>
      <w:r>
        <w:t xml:space="preserve"> by existing residential </w:t>
      </w:r>
    </w:p>
    <w:p w:rsidR="00C75548" w:rsidRPr="00C75548" w:rsidRDefault="007D32BF" w:rsidP="00713076">
      <w:pPr>
        <w:spacing w:after="0"/>
        <w:jc w:val="both"/>
      </w:pPr>
      <w:r w:rsidRPr="00910717">
        <w:rPr>
          <w:i/>
        </w:rPr>
        <w:t>R</w:t>
      </w:r>
      <w:r w:rsidR="006A0F06">
        <w:rPr>
          <w:i/>
          <w:vertAlign w:val="subscript"/>
        </w:rPr>
        <w:t>U</w:t>
      </w:r>
      <w:r>
        <w:t xml:space="preserve"> is MSW generation rate in </w:t>
      </w:r>
      <w:r w:rsidR="009E0A29">
        <w:t>pounds per unit per week based on Table 1.</w:t>
      </w:r>
    </w:p>
    <w:bookmarkEnd w:id="12"/>
    <w:p w:rsidR="00F830B3" w:rsidRPr="002007C7" w:rsidRDefault="007B4B3B" w:rsidP="001234D7">
      <w:pPr>
        <w:spacing w:before="200" w:after="0"/>
        <w:jc w:val="both"/>
        <w:rPr>
          <w:sz w:val="28"/>
          <w:szCs w:val="28"/>
        </w:rPr>
      </w:pPr>
      <w:r>
        <w:rPr>
          <w:sz w:val="28"/>
          <w:szCs w:val="28"/>
        </w:rPr>
        <w:t xml:space="preserve">4.1.2 </w:t>
      </w:r>
      <w:r w:rsidR="00F830B3" w:rsidRPr="002007C7">
        <w:rPr>
          <w:sz w:val="28"/>
          <w:szCs w:val="28"/>
        </w:rPr>
        <w:t>Commercial</w:t>
      </w:r>
    </w:p>
    <w:p w:rsidR="00F830B3" w:rsidRPr="00675CDA" w:rsidRDefault="002007C7" w:rsidP="00052577">
      <w:pPr>
        <w:jc w:val="both"/>
      </w:pPr>
      <w:bookmarkStart w:id="17" w:name="_Toc290524339"/>
      <w:bookmarkStart w:id="18" w:name="_Toc290524337"/>
      <w:r>
        <w:t xml:space="preserve">A survey was undertaken of all the commercial businesses within the project area. </w:t>
      </w:r>
      <w:r w:rsidR="0001715A" w:rsidRPr="0001715A">
        <w:t xml:space="preserve">Each individual business </w:t>
      </w:r>
      <w:r>
        <w:t>was</w:t>
      </w:r>
      <w:r w:rsidR="0001715A" w:rsidRPr="0001715A">
        <w:t xml:space="preserve"> visited to obtain </w:t>
      </w:r>
      <w:r>
        <w:t>the</w:t>
      </w:r>
      <w:r w:rsidR="0001715A" w:rsidRPr="0001715A">
        <w:t xml:space="preserve"> number of employe</w:t>
      </w:r>
      <w:r>
        <w:t>es per day working in the business. Business types within the project area range</w:t>
      </w:r>
      <w:r w:rsidR="0001715A" w:rsidRPr="0001715A">
        <w:t xml:space="preserve"> from individual offices, medical facilities, public service agencies</w:t>
      </w:r>
      <w:r>
        <w:t xml:space="preserve"> and</w:t>
      </w:r>
      <w:r w:rsidR="0001715A" w:rsidRPr="0001715A">
        <w:t xml:space="preserve"> sporting goods</w:t>
      </w:r>
      <w:r>
        <w:t xml:space="preserve"> stores</w:t>
      </w:r>
      <w:r w:rsidR="0001715A" w:rsidRPr="0001715A">
        <w:t xml:space="preserve"> to fish market</w:t>
      </w:r>
      <w:r>
        <w:t>s, grocery stores and restaurants</w:t>
      </w:r>
      <w:r w:rsidR="0001715A" w:rsidRPr="0001715A">
        <w:t xml:space="preserve">. </w:t>
      </w:r>
      <w:r>
        <w:t>E</w:t>
      </w:r>
      <w:r w:rsidR="0001715A" w:rsidRPr="0001715A">
        <w:t>ach business</w:t>
      </w:r>
      <w:r>
        <w:t xml:space="preserve"> type</w:t>
      </w:r>
      <w:r w:rsidR="0001715A" w:rsidRPr="0001715A">
        <w:t xml:space="preserve"> w</w:t>
      </w:r>
      <w:r>
        <w:t>as</w:t>
      </w:r>
      <w:r w:rsidR="0001715A" w:rsidRPr="0001715A">
        <w:t xml:space="preserve"> a</w:t>
      </w:r>
      <w:r>
        <w:t>ssessed</w:t>
      </w:r>
      <w:r w:rsidR="00052577">
        <w:t xml:space="preserve"> with respect to table 14-</w:t>
      </w:r>
      <w:r w:rsidR="0001715A" w:rsidRPr="0001715A">
        <w:t>1 of CEQR Technical Manual</w:t>
      </w:r>
      <w:r>
        <w:t>.</w:t>
      </w:r>
      <w:r w:rsidR="007D24CC">
        <w:t xml:space="preserve"> T</w:t>
      </w:r>
      <w:r w:rsidR="0001715A" w:rsidRPr="0001715A">
        <w:t>hose bus</w:t>
      </w:r>
      <w:r>
        <w:t>i</w:t>
      </w:r>
      <w:r w:rsidR="0001715A" w:rsidRPr="0001715A">
        <w:t>ness</w:t>
      </w:r>
      <w:r>
        <w:t>e</w:t>
      </w:r>
      <w:r w:rsidR="0001715A" w:rsidRPr="0001715A">
        <w:t xml:space="preserve">s that could be easily classified into one of the </w:t>
      </w:r>
      <w:r>
        <w:t xml:space="preserve">table </w:t>
      </w:r>
      <w:r w:rsidR="0001715A" w:rsidRPr="0001715A">
        <w:t>cat</w:t>
      </w:r>
      <w:r>
        <w:t>e</w:t>
      </w:r>
      <w:r w:rsidR="0001715A" w:rsidRPr="0001715A">
        <w:t>gor</w:t>
      </w:r>
      <w:r>
        <w:t>ie</w:t>
      </w:r>
      <w:r w:rsidR="0001715A" w:rsidRPr="0001715A">
        <w:t xml:space="preserve">s were placed in </w:t>
      </w:r>
      <w:r w:rsidR="007D24CC">
        <w:t>the</w:t>
      </w:r>
      <w:r w:rsidR="0001715A" w:rsidRPr="0001715A">
        <w:t xml:space="preserve"> cat</w:t>
      </w:r>
      <w:r>
        <w:t>egory.</w:t>
      </w:r>
      <w:r w:rsidR="0001715A" w:rsidRPr="0001715A">
        <w:t xml:space="preserve"> </w:t>
      </w:r>
      <w:r>
        <w:t>For the remainder,</w:t>
      </w:r>
      <w:r w:rsidR="0001715A" w:rsidRPr="0001715A">
        <w:t xml:space="preserve"> due consideration wa</w:t>
      </w:r>
      <w:r>
        <w:t>s given to the type of business and</w:t>
      </w:r>
      <w:r w:rsidR="0001715A" w:rsidRPr="0001715A">
        <w:t xml:space="preserve"> </w:t>
      </w:r>
      <w:r>
        <w:t>its</w:t>
      </w:r>
      <w:r w:rsidR="0001715A" w:rsidRPr="0001715A">
        <w:t xml:space="preserve"> daily activities. Based on </w:t>
      </w:r>
      <w:r>
        <w:t>type and</w:t>
      </w:r>
      <w:r w:rsidR="0001715A" w:rsidRPr="0001715A">
        <w:t xml:space="preserve"> activit</w:t>
      </w:r>
      <w:r w:rsidR="007D24CC">
        <w:t xml:space="preserve">y, a fair estimate was made of </w:t>
      </w:r>
      <w:r w:rsidR="0001715A" w:rsidRPr="0001715A">
        <w:t>daily solid waste generation</w:t>
      </w:r>
      <w:r>
        <w:t xml:space="preserve"> based on the business type</w:t>
      </w:r>
      <w:r w:rsidR="0001715A" w:rsidRPr="0001715A">
        <w:t xml:space="preserve"> resemblance to one of the cat</w:t>
      </w:r>
      <w:r>
        <w:t>e</w:t>
      </w:r>
      <w:r w:rsidR="0001715A" w:rsidRPr="0001715A">
        <w:t>gories found in the table</w:t>
      </w:r>
      <w:r>
        <w:t xml:space="preserve"> with small rate adjustments made where appropriate</w:t>
      </w:r>
      <w:r w:rsidR="0001715A" w:rsidRPr="0001715A">
        <w:t xml:space="preserve">. </w:t>
      </w:r>
      <w:r w:rsidR="00675CDA">
        <w:t>The New York City public school within the project area was included in the commercial survey, although the collection method at the school is by DSNY truck rather than by commercial hauler. Note of this is made in section</w:t>
      </w:r>
      <w:r w:rsidR="007B4B3B">
        <w:t xml:space="preserve"> 5.3.1</w:t>
      </w:r>
      <w:r w:rsidR="00675CDA">
        <w:t>.</w:t>
      </w:r>
      <w:r w:rsidR="00D63DF3">
        <w:t xml:space="preserve"> </w:t>
      </w:r>
      <w:r w:rsidR="00F0187E">
        <w:t>Existing c</w:t>
      </w:r>
      <w:r w:rsidR="00D63DF3">
        <w:t xml:space="preserve">ommercial MSW </w:t>
      </w:r>
      <w:r w:rsidR="00F0187E">
        <w:t>generation is:</w:t>
      </w:r>
    </w:p>
    <w:bookmarkStart w:id="19" w:name="_Toc292581076"/>
    <w:p w:rsidR="00F830B3" w:rsidRPr="00831644" w:rsidRDefault="003928FE" w:rsidP="001234D7">
      <w:pPr>
        <w:pStyle w:val="Caption"/>
        <w:spacing w:after="120"/>
        <w:rPr>
          <w:b w:val="0"/>
          <w:color w:val="auto"/>
          <w:position w:val="-28"/>
          <w:sz w:val="22"/>
          <w:szCs w:val="22"/>
        </w:rPr>
      </w:pPr>
      <w:r w:rsidRPr="00025438">
        <w:rPr>
          <w:position w:val="-24"/>
        </w:rPr>
        <w:object w:dxaOrig="2900" w:dyaOrig="620">
          <v:shape id="_x0000_i1027" type="#_x0000_t75" style="width:160.5pt;height:33.75pt" o:ole="">
            <v:imagedata r:id="rId15" o:title=""/>
          </v:shape>
          <o:OLEObject Type="Embed" ProgID="Equation.DSMT4" ShapeID="_x0000_i1027" DrawAspect="Content" ObjectID="_1366547010" r:id="rId16"/>
        </w:object>
      </w:r>
      <w:r w:rsidR="007D24CC">
        <w:rPr>
          <w:position w:val="-10"/>
        </w:rPr>
        <w:tab/>
      </w:r>
      <w:r w:rsidR="007D24CC">
        <w:rPr>
          <w:position w:val="-10"/>
        </w:rPr>
        <w:tab/>
      </w:r>
      <w:r w:rsidR="007D24CC">
        <w:rPr>
          <w:position w:val="-10"/>
        </w:rPr>
        <w:tab/>
      </w:r>
      <w:r w:rsidR="007D24CC">
        <w:rPr>
          <w:position w:val="-10"/>
        </w:rPr>
        <w:tab/>
      </w:r>
      <w:r w:rsidR="007D24CC">
        <w:rPr>
          <w:position w:val="-10"/>
        </w:rPr>
        <w:tab/>
      </w:r>
      <w:r w:rsidR="007D24CC">
        <w:rPr>
          <w:position w:val="-10"/>
        </w:rPr>
        <w:tab/>
      </w:r>
      <w:r w:rsidR="00607D7B">
        <w:rPr>
          <w:position w:val="-10"/>
        </w:rPr>
        <w:tab/>
      </w:r>
      <w:r w:rsidR="007D24CC">
        <w:rPr>
          <w:position w:val="-10"/>
        </w:rPr>
        <w:tab/>
      </w:r>
      <w:r w:rsidR="007D24CC" w:rsidRPr="00831644">
        <w:rPr>
          <w:b w:val="0"/>
          <w:color w:val="auto"/>
          <w:position w:val="-10"/>
          <w:sz w:val="22"/>
          <w:szCs w:val="22"/>
        </w:rPr>
        <w:t>[</w:t>
      </w:r>
      <w:r w:rsidR="00831644" w:rsidRPr="00831644">
        <w:rPr>
          <w:b w:val="0"/>
          <w:color w:val="auto"/>
          <w:position w:val="-10"/>
          <w:sz w:val="22"/>
          <w:szCs w:val="22"/>
        </w:rPr>
        <w:fldChar w:fldCharType="begin"/>
      </w:r>
      <w:r w:rsidR="00831644" w:rsidRPr="00831644">
        <w:rPr>
          <w:b w:val="0"/>
          <w:color w:val="auto"/>
          <w:position w:val="-10"/>
          <w:sz w:val="22"/>
          <w:szCs w:val="22"/>
        </w:rPr>
        <w:instrText xml:space="preserve"> SEQ Equation \* ARABIC </w:instrText>
      </w:r>
      <w:r w:rsidR="00831644" w:rsidRPr="00831644">
        <w:rPr>
          <w:b w:val="0"/>
          <w:color w:val="auto"/>
          <w:position w:val="-10"/>
          <w:sz w:val="22"/>
          <w:szCs w:val="22"/>
        </w:rPr>
        <w:fldChar w:fldCharType="separate"/>
      </w:r>
      <w:r w:rsidR="00DD0A90">
        <w:rPr>
          <w:b w:val="0"/>
          <w:noProof/>
          <w:color w:val="auto"/>
          <w:position w:val="-10"/>
          <w:sz w:val="22"/>
          <w:szCs w:val="22"/>
        </w:rPr>
        <w:t>3</w:t>
      </w:r>
      <w:r w:rsidR="00831644" w:rsidRPr="00831644">
        <w:rPr>
          <w:b w:val="0"/>
          <w:color w:val="auto"/>
          <w:position w:val="-10"/>
          <w:sz w:val="22"/>
          <w:szCs w:val="22"/>
        </w:rPr>
        <w:fldChar w:fldCharType="end"/>
      </w:r>
      <w:r w:rsidR="007D24CC" w:rsidRPr="00831644">
        <w:rPr>
          <w:b w:val="0"/>
          <w:color w:val="auto"/>
          <w:position w:val="-10"/>
          <w:sz w:val="22"/>
          <w:szCs w:val="22"/>
        </w:rPr>
        <w:t>]</w:t>
      </w:r>
      <w:bookmarkEnd w:id="19"/>
    </w:p>
    <w:p w:rsidR="00F830B3" w:rsidRPr="007D24CC" w:rsidRDefault="00D63DF3" w:rsidP="00713076">
      <w:pPr>
        <w:spacing w:after="0"/>
        <w:jc w:val="both"/>
        <w:rPr>
          <w:position w:val="-28"/>
        </w:rPr>
      </w:pPr>
      <w:r w:rsidRPr="00910717">
        <w:rPr>
          <w:i/>
          <w:position w:val="-28"/>
        </w:rPr>
        <w:t>CSW</w:t>
      </w:r>
      <w:r w:rsidR="00F830B3" w:rsidRPr="007D24CC">
        <w:rPr>
          <w:position w:val="-28"/>
        </w:rPr>
        <w:t xml:space="preserve"> </w:t>
      </w:r>
      <w:r w:rsidR="00910717">
        <w:rPr>
          <w:position w:val="-28"/>
        </w:rPr>
        <w:t>is</w:t>
      </w:r>
      <w:r w:rsidR="00F830B3" w:rsidRPr="007D24CC">
        <w:rPr>
          <w:position w:val="-28"/>
        </w:rPr>
        <w:t xml:space="preserve"> </w:t>
      </w:r>
      <w:r w:rsidR="007D24CC">
        <w:rPr>
          <w:position w:val="-28"/>
        </w:rPr>
        <w:t>Commercial</w:t>
      </w:r>
      <w:r w:rsidR="00F830B3" w:rsidRPr="007D24CC">
        <w:rPr>
          <w:position w:val="-28"/>
        </w:rPr>
        <w:t xml:space="preserve"> Solid Waste</w:t>
      </w:r>
      <w:r w:rsidR="00025438">
        <w:rPr>
          <w:position w:val="-28"/>
        </w:rPr>
        <w:t xml:space="preserve"> in tons per week</w:t>
      </w:r>
    </w:p>
    <w:p w:rsidR="00F830B3" w:rsidRPr="007D24CC" w:rsidRDefault="007D24CC" w:rsidP="00713076">
      <w:pPr>
        <w:spacing w:after="0"/>
        <w:jc w:val="both"/>
        <w:rPr>
          <w:position w:val="-28"/>
        </w:rPr>
      </w:pPr>
      <w:r w:rsidRPr="00910717">
        <w:rPr>
          <w:i/>
          <w:position w:val="-28"/>
        </w:rPr>
        <w:t>E</w:t>
      </w:r>
      <w:r w:rsidR="003928FE">
        <w:rPr>
          <w:i/>
          <w:position w:val="-28"/>
          <w:vertAlign w:val="subscript"/>
        </w:rPr>
        <w:t>i</w:t>
      </w:r>
      <w:r w:rsidR="00F830B3" w:rsidRPr="007D24CC">
        <w:rPr>
          <w:position w:val="-28"/>
        </w:rPr>
        <w:t xml:space="preserve"> </w:t>
      </w:r>
      <w:r w:rsidR="00910717">
        <w:rPr>
          <w:position w:val="-28"/>
        </w:rPr>
        <w:t>is</w:t>
      </w:r>
      <w:r w:rsidR="00F830B3" w:rsidRPr="007D24CC">
        <w:rPr>
          <w:position w:val="-28"/>
        </w:rPr>
        <w:t xml:space="preserve"> Number of </w:t>
      </w:r>
      <w:r w:rsidRPr="007D24CC">
        <w:rPr>
          <w:position w:val="-28"/>
        </w:rPr>
        <w:t>e</w:t>
      </w:r>
      <w:r w:rsidR="00F830B3" w:rsidRPr="007D24CC">
        <w:rPr>
          <w:position w:val="-28"/>
        </w:rPr>
        <w:t xml:space="preserve">mployees </w:t>
      </w:r>
      <w:r w:rsidRPr="007D24CC">
        <w:rPr>
          <w:position w:val="-28"/>
        </w:rPr>
        <w:t>working per day in surveyed business</w:t>
      </w:r>
      <w:r w:rsidR="00E00F68">
        <w:rPr>
          <w:position w:val="-28"/>
        </w:rPr>
        <w:t>es</w:t>
      </w:r>
      <w:r w:rsidR="003928FE">
        <w:rPr>
          <w:position w:val="-28"/>
        </w:rPr>
        <w:t xml:space="preserve"> by business type </w:t>
      </w:r>
      <w:r w:rsidR="003928FE" w:rsidRPr="003928FE">
        <w:rPr>
          <w:i/>
          <w:position w:val="-28"/>
        </w:rPr>
        <w:t>i</w:t>
      </w:r>
    </w:p>
    <w:p w:rsidR="00F830B3" w:rsidRDefault="003928FE" w:rsidP="00A7675E">
      <w:pPr>
        <w:spacing w:after="100" w:afterAutospacing="1"/>
        <w:jc w:val="both"/>
        <w:rPr>
          <w:position w:val="-28"/>
        </w:rPr>
      </w:pPr>
      <w:r>
        <w:rPr>
          <w:i/>
          <w:position w:val="-28"/>
        </w:rPr>
        <w:t>R</w:t>
      </w:r>
      <w:r>
        <w:rPr>
          <w:i/>
          <w:position w:val="-28"/>
          <w:vertAlign w:val="subscript"/>
        </w:rPr>
        <w:t>i</w:t>
      </w:r>
      <w:r w:rsidR="00F830B3" w:rsidRPr="007D24CC">
        <w:rPr>
          <w:position w:val="-28"/>
        </w:rPr>
        <w:t xml:space="preserve"> </w:t>
      </w:r>
      <w:r w:rsidR="00910717">
        <w:rPr>
          <w:position w:val="-28"/>
        </w:rPr>
        <w:t>is</w:t>
      </w:r>
      <w:r w:rsidR="00F830B3" w:rsidRPr="007D24CC">
        <w:rPr>
          <w:position w:val="-28"/>
        </w:rPr>
        <w:t xml:space="preserve"> </w:t>
      </w:r>
      <w:r w:rsidR="00910717">
        <w:rPr>
          <w:position w:val="-28"/>
        </w:rPr>
        <w:t>r</w:t>
      </w:r>
      <w:r w:rsidR="00F830B3" w:rsidRPr="007D24CC">
        <w:rPr>
          <w:position w:val="-28"/>
        </w:rPr>
        <w:t xml:space="preserve">ate of </w:t>
      </w:r>
      <w:r w:rsidR="00025438">
        <w:rPr>
          <w:position w:val="-28"/>
        </w:rPr>
        <w:t>SW</w:t>
      </w:r>
      <w:r w:rsidR="00F830B3" w:rsidRPr="007D24CC">
        <w:rPr>
          <w:position w:val="-28"/>
        </w:rPr>
        <w:t xml:space="preserve"> generation </w:t>
      </w:r>
      <w:r w:rsidR="007D24CC" w:rsidRPr="007D24CC">
        <w:rPr>
          <w:position w:val="-28"/>
        </w:rPr>
        <w:t>by business type</w:t>
      </w:r>
      <w:r>
        <w:rPr>
          <w:position w:val="-28"/>
        </w:rPr>
        <w:t xml:space="preserve"> </w:t>
      </w:r>
      <w:r>
        <w:rPr>
          <w:i/>
          <w:position w:val="-28"/>
        </w:rPr>
        <w:t>i</w:t>
      </w:r>
      <w:r w:rsidR="007D24CC" w:rsidRPr="007D24CC">
        <w:rPr>
          <w:position w:val="-28"/>
        </w:rPr>
        <w:t xml:space="preserve"> </w:t>
      </w:r>
      <w:r w:rsidR="00F830B3" w:rsidRPr="007D24CC">
        <w:rPr>
          <w:position w:val="-28"/>
        </w:rPr>
        <w:t>found in Table 1</w:t>
      </w:r>
      <w:r w:rsidR="002F626E">
        <w:rPr>
          <w:position w:val="-28"/>
        </w:rPr>
        <w:t xml:space="preserve"> in pounds per</w:t>
      </w:r>
      <w:r w:rsidR="00025438">
        <w:rPr>
          <w:position w:val="-28"/>
        </w:rPr>
        <w:t xml:space="preserve"> employee per</w:t>
      </w:r>
      <w:r w:rsidR="002F626E">
        <w:rPr>
          <w:position w:val="-28"/>
        </w:rPr>
        <w:t xml:space="preserve"> week</w:t>
      </w:r>
    </w:p>
    <w:p w:rsidR="00A7675E" w:rsidRPr="00A7675E" w:rsidRDefault="007B4B3B" w:rsidP="001234D7">
      <w:pPr>
        <w:spacing w:after="120"/>
        <w:jc w:val="both"/>
        <w:rPr>
          <w:position w:val="-28"/>
          <w:sz w:val="28"/>
          <w:szCs w:val="28"/>
        </w:rPr>
      </w:pPr>
      <w:r>
        <w:rPr>
          <w:position w:val="-28"/>
          <w:sz w:val="28"/>
          <w:szCs w:val="28"/>
        </w:rPr>
        <w:t xml:space="preserve">4.1.3 </w:t>
      </w:r>
      <w:r w:rsidR="00A7675E" w:rsidRPr="00A7675E">
        <w:rPr>
          <w:position w:val="-28"/>
          <w:sz w:val="28"/>
          <w:szCs w:val="28"/>
        </w:rPr>
        <w:t>Total</w:t>
      </w:r>
      <w:r w:rsidR="00E00F68">
        <w:rPr>
          <w:position w:val="-28"/>
          <w:sz w:val="28"/>
          <w:szCs w:val="28"/>
        </w:rPr>
        <w:t xml:space="preserve"> Existing Solid Waste Generation</w:t>
      </w:r>
    </w:p>
    <w:bookmarkEnd w:id="17"/>
    <w:p w:rsidR="00A7675E" w:rsidRDefault="00A7675E" w:rsidP="00A7675E">
      <w:r>
        <w:t>The total solid waste in the existing project area is:</w:t>
      </w:r>
    </w:p>
    <w:bookmarkStart w:id="20" w:name="_Toc292581077"/>
    <w:p w:rsidR="00A7675E" w:rsidRDefault="00A7675E" w:rsidP="001234D7">
      <w:pPr>
        <w:pStyle w:val="Caption"/>
        <w:spacing w:after="120"/>
      </w:pPr>
      <w:r w:rsidRPr="00A7675E">
        <w:rPr>
          <w:position w:val="-12"/>
        </w:rPr>
        <w:object w:dxaOrig="2460" w:dyaOrig="360">
          <v:shape id="_x0000_i1028" type="#_x0000_t75" style="width:123pt;height:18pt" o:ole="">
            <v:imagedata r:id="rId17" o:title=""/>
          </v:shape>
          <o:OLEObject Type="Embed" ProgID="Equation.DSMT4" ShapeID="_x0000_i1028" DrawAspect="Content" ObjectID="_1366547011" r:id="rId18"/>
        </w:object>
      </w:r>
      <w:r>
        <w:tab/>
      </w:r>
      <w:r>
        <w:tab/>
      </w:r>
      <w:r>
        <w:tab/>
      </w:r>
      <w:r>
        <w:tab/>
      </w:r>
      <w:r>
        <w:tab/>
      </w:r>
      <w:r>
        <w:tab/>
      </w:r>
      <w:r>
        <w:tab/>
      </w:r>
      <w:r>
        <w:tab/>
      </w:r>
      <w:r>
        <w:tab/>
      </w:r>
      <w:r w:rsidRPr="00831644">
        <w:rPr>
          <w:b w:val="0"/>
          <w:color w:val="auto"/>
          <w:sz w:val="22"/>
          <w:szCs w:val="22"/>
        </w:rPr>
        <w:t>[</w:t>
      </w:r>
      <w:r w:rsidR="00831644" w:rsidRPr="00831644">
        <w:rPr>
          <w:b w:val="0"/>
          <w:color w:val="auto"/>
          <w:sz w:val="22"/>
          <w:szCs w:val="22"/>
        </w:rPr>
        <w:fldChar w:fldCharType="begin"/>
      </w:r>
      <w:r w:rsidR="00831644" w:rsidRPr="00831644">
        <w:rPr>
          <w:b w:val="0"/>
          <w:color w:val="auto"/>
          <w:sz w:val="22"/>
          <w:szCs w:val="22"/>
        </w:rPr>
        <w:instrText xml:space="preserve"> SEQ Equation \* ARABIC </w:instrText>
      </w:r>
      <w:r w:rsidR="00831644" w:rsidRPr="00831644">
        <w:rPr>
          <w:b w:val="0"/>
          <w:color w:val="auto"/>
          <w:sz w:val="22"/>
          <w:szCs w:val="22"/>
        </w:rPr>
        <w:fldChar w:fldCharType="separate"/>
      </w:r>
      <w:r w:rsidR="00DD0A90">
        <w:rPr>
          <w:b w:val="0"/>
          <w:noProof/>
          <w:color w:val="auto"/>
          <w:sz w:val="22"/>
          <w:szCs w:val="22"/>
        </w:rPr>
        <w:t>4</w:t>
      </w:r>
      <w:r w:rsidR="00831644" w:rsidRPr="00831644">
        <w:rPr>
          <w:b w:val="0"/>
          <w:color w:val="auto"/>
          <w:sz w:val="22"/>
          <w:szCs w:val="22"/>
        </w:rPr>
        <w:fldChar w:fldCharType="end"/>
      </w:r>
      <w:r w:rsidRPr="00831644">
        <w:rPr>
          <w:b w:val="0"/>
          <w:color w:val="auto"/>
          <w:sz w:val="22"/>
          <w:szCs w:val="22"/>
        </w:rPr>
        <w:t>]</w:t>
      </w:r>
      <w:bookmarkEnd w:id="20"/>
    </w:p>
    <w:p w:rsidR="00A7675E" w:rsidRPr="00A7675E" w:rsidRDefault="00A7675E" w:rsidP="00A7675E">
      <w:r>
        <w:rPr>
          <w:i/>
        </w:rPr>
        <w:t>MSW</w:t>
      </w:r>
      <w:r>
        <w:rPr>
          <w:i/>
          <w:vertAlign w:val="subscript"/>
        </w:rPr>
        <w:t>ET</w:t>
      </w:r>
      <w:r>
        <w:rPr>
          <w:i/>
        </w:rPr>
        <w:t xml:space="preserve"> </w:t>
      </w:r>
      <w:r>
        <w:t>is total solid waste generated in the project area under existing conditions.</w:t>
      </w:r>
    </w:p>
    <w:p w:rsidR="00032526" w:rsidRDefault="007B4B3B" w:rsidP="001234D7">
      <w:pPr>
        <w:pStyle w:val="Heading2"/>
        <w:spacing w:before="240"/>
        <w:jc w:val="both"/>
      </w:pPr>
      <w:bookmarkStart w:id="21" w:name="_Toc292629343"/>
      <w:r>
        <w:t xml:space="preserve">4.2 </w:t>
      </w:r>
      <w:r w:rsidR="00F830B3">
        <w:t>Build Conditions</w:t>
      </w:r>
      <w:bookmarkEnd w:id="21"/>
    </w:p>
    <w:p w:rsidR="00607D7B" w:rsidRDefault="007B4B3B" w:rsidP="001234D7">
      <w:pPr>
        <w:spacing w:before="200" w:after="0"/>
        <w:rPr>
          <w:sz w:val="28"/>
          <w:szCs w:val="28"/>
        </w:rPr>
      </w:pPr>
      <w:r>
        <w:rPr>
          <w:sz w:val="28"/>
          <w:szCs w:val="28"/>
        </w:rPr>
        <w:t xml:space="preserve">4.2.1 </w:t>
      </w:r>
      <w:r w:rsidR="00B77C0C">
        <w:rPr>
          <w:sz w:val="28"/>
          <w:szCs w:val="28"/>
        </w:rPr>
        <w:t>Dormitory</w:t>
      </w:r>
      <w:r w:rsidR="00607D7B" w:rsidRPr="00CF5EDC">
        <w:rPr>
          <w:sz w:val="28"/>
          <w:szCs w:val="28"/>
        </w:rPr>
        <w:t xml:space="preserve"> </w:t>
      </w:r>
      <w:r w:rsidR="00B77C0C">
        <w:rPr>
          <w:sz w:val="28"/>
          <w:szCs w:val="28"/>
        </w:rPr>
        <w:t>B</w:t>
      </w:r>
      <w:r w:rsidR="00607D7B" w:rsidRPr="00CF5EDC">
        <w:rPr>
          <w:sz w:val="28"/>
          <w:szCs w:val="28"/>
        </w:rPr>
        <w:t>uildings</w:t>
      </w:r>
    </w:p>
    <w:p w:rsidR="00A64A40" w:rsidRPr="00A64A40" w:rsidRDefault="00A64A40" w:rsidP="00A64A40">
      <w:pPr>
        <w:jc w:val="both"/>
      </w:pPr>
      <w:r>
        <w:t>The project includes three new residential dormitories substantially like the existing Towers dormitories at City College.</w:t>
      </w:r>
      <w:r w:rsidR="00E62DBF">
        <w:t xml:space="preserve"> Dormitory capacity was collected from the Towers website and used in conjunction with the per-resident rate from Table 1 to determine MSW generated for this portion of the project (City College of New York, 2011).</w:t>
      </w:r>
    </w:p>
    <w:bookmarkStart w:id="22" w:name="_Toc292581078"/>
    <w:p w:rsidR="007D32BF" w:rsidRDefault="00412DD8" w:rsidP="001234D7">
      <w:pPr>
        <w:pStyle w:val="Caption"/>
        <w:spacing w:after="120"/>
      </w:pPr>
      <w:r w:rsidRPr="00372970">
        <w:rPr>
          <w:position w:val="-24"/>
        </w:rPr>
        <w:object w:dxaOrig="3019" w:dyaOrig="620">
          <v:shape id="_x0000_i1029" type="#_x0000_t75" style="width:151.5pt;height:32.25pt" o:ole="">
            <v:imagedata r:id="rId19" o:title=""/>
          </v:shape>
          <o:OLEObject Type="Embed" ProgID="Equation.DSMT4" ShapeID="_x0000_i1029" DrawAspect="Content" ObjectID="_1366547012" r:id="rId20"/>
        </w:object>
      </w:r>
      <w:r w:rsidR="00A7675E">
        <w:rPr>
          <w:position w:val="-10"/>
        </w:rPr>
        <w:tab/>
      </w:r>
      <w:r w:rsidR="00A7675E">
        <w:rPr>
          <w:position w:val="-10"/>
        </w:rPr>
        <w:tab/>
      </w:r>
      <w:r w:rsidR="00A7675E">
        <w:rPr>
          <w:position w:val="-10"/>
        </w:rPr>
        <w:tab/>
      </w:r>
      <w:r w:rsidR="00A7675E">
        <w:rPr>
          <w:position w:val="-10"/>
        </w:rPr>
        <w:tab/>
      </w:r>
      <w:r w:rsidR="00A7675E">
        <w:rPr>
          <w:position w:val="-10"/>
        </w:rPr>
        <w:tab/>
      </w:r>
      <w:r w:rsidR="00A7675E">
        <w:rPr>
          <w:position w:val="-10"/>
        </w:rPr>
        <w:tab/>
      </w:r>
      <w:r w:rsidR="00A7675E">
        <w:rPr>
          <w:position w:val="-10"/>
        </w:rPr>
        <w:tab/>
      </w:r>
      <w:r w:rsidR="00A7675E">
        <w:rPr>
          <w:position w:val="-10"/>
        </w:rPr>
        <w:tab/>
      </w:r>
      <w:r w:rsidR="007D32BF" w:rsidRPr="00831644">
        <w:rPr>
          <w:b w:val="0"/>
          <w:color w:val="auto"/>
          <w:position w:val="-10"/>
          <w:sz w:val="22"/>
          <w:szCs w:val="22"/>
        </w:rPr>
        <w:t>[</w:t>
      </w:r>
      <w:r w:rsidR="00831644" w:rsidRPr="00831644">
        <w:rPr>
          <w:b w:val="0"/>
          <w:color w:val="auto"/>
          <w:position w:val="-10"/>
          <w:sz w:val="22"/>
          <w:szCs w:val="22"/>
        </w:rPr>
        <w:fldChar w:fldCharType="begin"/>
      </w:r>
      <w:r w:rsidR="00831644" w:rsidRPr="00831644">
        <w:rPr>
          <w:b w:val="0"/>
          <w:color w:val="auto"/>
          <w:position w:val="-10"/>
          <w:sz w:val="22"/>
          <w:szCs w:val="22"/>
        </w:rPr>
        <w:instrText xml:space="preserve"> SEQ Equation \* ARABIC </w:instrText>
      </w:r>
      <w:r w:rsidR="00831644" w:rsidRPr="00831644">
        <w:rPr>
          <w:b w:val="0"/>
          <w:color w:val="auto"/>
          <w:position w:val="-10"/>
          <w:sz w:val="22"/>
          <w:szCs w:val="22"/>
        </w:rPr>
        <w:fldChar w:fldCharType="separate"/>
      </w:r>
      <w:r w:rsidR="00DD0A90">
        <w:rPr>
          <w:b w:val="0"/>
          <w:noProof/>
          <w:color w:val="auto"/>
          <w:position w:val="-10"/>
          <w:sz w:val="22"/>
          <w:szCs w:val="22"/>
        </w:rPr>
        <w:t>5</w:t>
      </w:r>
      <w:r w:rsidR="00831644" w:rsidRPr="00831644">
        <w:rPr>
          <w:b w:val="0"/>
          <w:color w:val="auto"/>
          <w:position w:val="-10"/>
          <w:sz w:val="22"/>
          <w:szCs w:val="22"/>
        </w:rPr>
        <w:fldChar w:fldCharType="end"/>
      </w:r>
      <w:r w:rsidR="007D32BF" w:rsidRPr="00831644">
        <w:rPr>
          <w:b w:val="0"/>
          <w:color w:val="auto"/>
          <w:position w:val="-10"/>
          <w:sz w:val="22"/>
          <w:szCs w:val="22"/>
        </w:rPr>
        <w:t>]</w:t>
      </w:r>
      <w:bookmarkEnd w:id="22"/>
    </w:p>
    <w:p w:rsidR="007D32BF" w:rsidRDefault="007D32BF" w:rsidP="00713076">
      <w:pPr>
        <w:spacing w:after="0"/>
        <w:jc w:val="both"/>
      </w:pPr>
      <w:r w:rsidRPr="00713076">
        <w:rPr>
          <w:i/>
        </w:rPr>
        <w:t>MSW</w:t>
      </w:r>
      <w:r w:rsidRPr="00713076">
        <w:rPr>
          <w:i/>
          <w:vertAlign w:val="subscript"/>
        </w:rPr>
        <w:t>BR</w:t>
      </w:r>
      <w:r>
        <w:t xml:space="preserve"> is MSW from project residential buildings in tons per week</w:t>
      </w:r>
    </w:p>
    <w:p w:rsidR="007D32BF" w:rsidRDefault="007D32BF" w:rsidP="00713076">
      <w:pPr>
        <w:spacing w:after="0"/>
        <w:jc w:val="both"/>
      </w:pPr>
      <w:r w:rsidRPr="00713076">
        <w:rPr>
          <w:i/>
        </w:rPr>
        <w:t>B</w:t>
      </w:r>
      <w:r w:rsidR="00412DD8">
        <w:rPr>
          <w:i/>
          <w:vertAlign w:val="subscript"/>
        </w:rPr>
        <w:t>R</w:t>
      </w:r>
      <w:r>
        <w:t xml:space="preserve"> is number of </w:t>
      </w:r>
      <w:r w:rsidR="00412DD8">
        <w:t xml:space="preserve">residential dormitory </w:t>
      </w:r>
      <w:r>
        <w:t>buildings</w:t>
      </w:r>
    </w:p>
    <w:p w:rsidR="007D32BF" w:rsidRDefault="007D32BF" w:rsidP="00713076">
      <w:pPr>
        <w:spacing w:after="0"/>
        <w:jc w:val="both"/>
      </w:pPr>
      <w:r w:rsidRPr="00713076">
        <w:rPr>
          <w:i/>
        </w:rPr>
        <w:t>S</w:t>
      </w:r>
      <w:r>
        <w:t xml:space="preserve"> is student</w:t>
      </w:r>
      <w:r w:rsidR="00A04D32">
        <w:t xml:space="preserve"> residents</w:t>
      </w:r>
      <w:r>
        <w:t xml:space="preserve"> per building</w:t>
      </w:r>
    </w:p>
    <w:p w:rsidR="007D32BF" w:rsidRPr="007D32BF" w:rsidRDefault="007D32BF" w:rsidP="00713076">
      <w:pPr>
        <w:spacing w:after="0"/>
        <w:jc w:val="both"/>
      </w:pPr>
      <w:r w:rsidRPr="00713076">
        <w:rPr>
          <w:i/>
        </w:rPr>
        <w:t>R</w:t>
      </w:r>
      <w:r w:rsidR="00A04D32">
        <w:rPr>
          <w:i/>
          <w:vertAlign w:val="subscript"/>
        </w:rPr>
        <w:t>R</w:t>
      </w:r>
      <w:r>
        <w:t xml:space="preserve"> is MSW generation rate </w:t>
      </w:r>
      <w:r w:rsidR="00273A72">
        <w:t xml:space="preserve">in pounds </w:t>
      </w:r>
      <w:r>
        <w:t>per student per week</w:t>
      </w:r>
      <w:r w:rsidR="00273A72">
        <w:t xml:space="preserve"> from Table 1</w:t>
      </w:r>
    </w:p>
    <w:p w:rsidR="00A5705A" w:rsidRDefault="007B4B3B" w:rsidP="001234D7">
      <w:pPr>
        <w:spacing w:before="240" w:after="0"/>
        <w:jc w:val="both"/>
        <w:rPr>
          <w:sz w:val="28"/>
          <w:szCs w:val="28"/>
        </w:rPr>
      </w:pPr>
      <w:r>
        <w:rPr>
          <w:sz w:val="28"/>
          <w:szCs w:val="28"/>
        </w:rPr>
        <w:t xml:space="preserve">4.2.2 </w:t>
      </w:r>
      <w:r w:rsidR="00A5705A" w:rsidRPr="0001715A">
        <w:rPr>
          <w:sz w:val="28"/>
          <w:szCs w:val="28"/>
        </w:rPr>
        <w:t>Academic buildings</w:t>
      </w:r>
      <w:bookmarkEnd w:id="18"/>
    </w:p>
    <w:p w:rsidR="00B749CC" w:rsidRPr="00B749CC" w:rsidRDefault="00B749CC" w:rsidP="00B749CC">
      <w:pPr>
        <w:jc w:val="both"/>
      </w:pPr>
      <w:r w:rsidRPr="00B749CC">
        <w:t>The project includes three new academic buildings similar</w:t>
      </w:r>
      <w:r w:rsidR="00172F25">
        <w:t xml:space="preserve"> in size</w:t>
      </w:r>
      <w:r w:rsidRPr="00B749CC">
        <w:t xml:space="preserve"> to the existing Marshak Science Building, a 13-story high, 649,458 square foot building containing lecture halls, laboratories and a gymnasium (</w:t>
      </w:r>
      <w:r w:rsidR="00172F25">
        <w:t>The</w:t>
      </w:r>
      <w:r w:rsidRPr="00B749CC">
        <w:t xml:space="preserve"> City</w:t>
      </w:r>
      <w:r w:rsidR="00172F25">
        <w:t xml:space="preserve"> of New York, 2011</w:t>
      </w:r>
      <w:r w:rsidRPr="00B749CC">
        <w:t>).</w:t>
      </w:r>
      <w:r>
        <w:t xml:space="preserve"> CEQR standard practice for school buildings is to use a rate of MSW generated per pupil, but there is no stated capacity for Marshak Sc</w:t>
      </w:r>
      <w:r w:rsidR="00172F25">
        <w:t>ience Building</w:t>
      </w:r>
      <w:r>
        <w:t xml:space="preserve"> according to CCNY facilities</w:t>
      </w:r>
      <w:r w:rsidR="00172F25">
        <w:t xml:space="preserve"> management</w:t>
      </w:r>
      <w:r>
        <w:t xml:space="preserve"> office</w:t>
      </w:r>
      <w:r w:rsidR="00172F25">
        <w:t>. Further, Marshak Hall is a laboratory facility as well as an academic building, so it is possible that the rate per pupil would undercount the MSW Marshak generates. The DEIS for the new science buildings currently under construction on the CCNY campus estimates the MSW generated by Marshak using the rate</w:t>
      </w:r>
      <w:r w:rsidR="00172F25" w:rsidRPr="00172F25">
        <w:t xml:space="preserve"> </w:t>
      </w:r>
      <w:r w:rsidR="00172F25">
        <w:t xml:space="preserve">for government offices, based on square footage </w:t>
      </w:r>
      <w:r w:rsidR="00A25775">
        <w:t>(</w:t>
      </w:r>
      <w:r w:rsidR="00A25775">
        <w:rPr>
          <w:bCs/>
        </w:rPr>
        <w:t xml:space="preserve">The Louis Berger Group, Inc., </w:t>
      </w:r>
      <w:r w:rsidR="00A25775" w:rsidRPr="00682FD5">
        <w:rPr>
          <w:bCs/>
        </w:rPr>
        <w:t>2007</w:t>
      </w:r>
      <w:r w:rsidR="00172F25">
        <w:t>). Two methods are examined for estimating MSW for the</w:t>
      </w:r>
      <w:r w:rsidR="00A04D32">
        <w:t xml:space="preserve"> project’s</w:t>
      </w:r>
      <w:r w:rsidR="00172F25">
        <w:t xml:space="preserve"> three academic buildings and the more conservative of the two </w:t>
      </w:r>
      <w:r w:rsidR="005B4FF0">
        <w:t>is</w:t>
      </w:r>
      <w:r w:rsidR="00172F25">
        <w:t xml:space="preserve"> chosen for the estimate. The first method</w:t>
      </w:r>
      <w:r w:rsidR="00A25775">
        <w:t>,</w:t>
      </w:r>
      <w:r w:rsidR="00172F25">
        <w:t xml:space="preserve"> in equation 5</w:t>
      </w:r>
      <w:r w:rsidR="00A25775">
        <w:t>,</w:t>
      </w:r>
      <w:r w:rsidR="00172F25">
        <w:t xml:space="preserve"> follows the DEIS for the science buildings under construction</w:t>
      </w:r>
      <w:r w:rsidR="00A25775">
        <w:t>. The second, in equation 6, uses the per-pupil rate with the total enrollment for CCNY.</w:t>
      </w:r>
    </w:p>
    <w:bookmarkStart w:id="23" w:name="_Toc292581079"/>
    <w:p w:rsidR="00150ECE" w:rsidRDefault="00412DD8" w:rsidP="001234D7">
      <w:pPr>
        <w:pStyle w:val="Caption"/>
        <w:spacing w:after="120"/>
      </w:pPr>
      <w:r w:rsidRPr="001E5598">
        <w:rPr>
          <w:position w:val="-24"/>
        </w:rPr>
        <w:object w:dxaOrig="3180" w:dyaOrig="620">
          <v:shape id="_x0000_i1030" type="#_x0000_t75" style="width:159pt;height:30.75pt" o:ole="">
            <v:imagedata r:id="rId21" o:title=""/>
          </v:shape>
          <o:OLEObject Type="Embed" ProgID="Equation.DSMT4" ShapeID="_x0000_i1030" DrawAspect="Content" ObjectID="_1366547013" r:id="rId22"/>
        </w:object>
      </w:r>
      <w:r w:rsidR="00150ECE">
        <w:tab/>
      </w:r>
      <w:r w:rsidR="00150ECE">
        <w:tab/>
      </w:r>
      <w:r w:rsidR="00150ECE">
        <w:tab/>
      </w:r>
      <w:r w:rsidR="00150ECE">
        <w:tab/>
      </w:r>
      <w:r w:rsidR="00150ECE">
        <w:tab/>
      </w:r>
      <w:r w:rsidR="00150ECE">
        <w:tab/>
      </w:r>
      <w:r w:rsidR="00150ECE">
        <w:tab/>
      </w:r>
      <w:r w:rsidR="00150ECE">
        <w:tab/>
      </w:r>
      <w:r w:rsidR="00150ECE" w:rsidRPr="00831644">
        <w:rPr>
          <w:b w:val="0"/>
          <w:color w:val="auto"/>
          <w:sz w:val="22"/>
          <w:szCs w:val="22"/>
        </w:rPr>
        <w:t>[</w:t>
      </w:r>
      <w:r w:rsidR="00831644" w:rsidRPr="00831644">
        <w:rPr>
          <w:b w:val="0"/>
          <w:color w:val="auto"/>
          <w:sz w:val="22"/>
          <w:szCs w:val="22"/>
        </w:rPr>
        <w:fldChar w:fldCharType="begin"/>
      </w:r>
      <w:r w:rsidR="00831644" w:rsidRPr="00831644">
        <w:rPr>
          <w:b w:val="0"/>
          <w:color w:val="auto"/>
          <w:sz w:val="22"/>
          <w:szCs w:val="22"/>
        </w:rPr>
        <w:instrText xml:space="preserve"> SEQ Equation \* ARABIC </w:instrText>
      </w:r>
      <w:r w:rsidR="00831644" w:rsidRPr="00831644">
        <w:rPr>
          <w:b w:val="0"/>
          <w:color w:val="auto"/>
          <w:sz w:val="22"/>
          <w:szCs w:val="22"/>
        </w:rPr>
        <w:fldChar w:fldCharType="separate"/>
      </w:r>
      <w:r w:rsidR="00DD0A90">
        <w:rPr>
          <w:b w:val="0"/>
          <w:noProof/>
          <w:color w:val="auto"/>
          <w:sz w:val="22"/>
          <w:szCs w:val="22"/>
        </w:rPr>
        <w:t>6</w:t>
      </w:r>
      <w:r w:rsidR="00831644" w:rsidRPr="00831644">
        <w:rPr>
          <w:b w:val="0"/>
          <w:color w:val="auto"/>
          <w:sz w:val="22"/>
          <w:szCs w:val="22"/>
        </w:rPr>
        <w:fldChar w:fldCharType="end"/>
      </w:r>
      <w:r w:rsidR="00150ECE" w:rsidRPr="00831644">
        <w:rPr>
          <w:b w:val="0"/>
          <w:color w:val="auto"/>
          <w:sz w:val="22"/>
          <w:szCs w:val="22"/>
        </w:rPr>
        <w:t>]</w:t>
      </w:r>
      <w:bookmarkEnd w:id="23"/>
    </w:p>
    <w:p w:rsidR="00150ECE" w:rsidRDefault="00150ECE" w:rsidP="00713076">
      <w:pPr>
        <w:spacing w:after="0"/>
        <w:jc w:val="both"/>
      </w:pPr>
      <w:r w:rsidRPr="00713076">
        <w:rPr>
          <w:i/>
        </w:rPr>
        <w:t>MSW</w:t>
      </w:r>
      <w:r w:rsidRPr="00713076">
        <w:rPr>
          <w:i/>
          <w:vertAlign w:val="subscript"/>
        </w:rPr>
        <w:t>B</w:t>
      </w:r>
      <w:r w:rsidR="00E7679E">
        <w:rPr>
          <w:i/>
          <w:vertAlign w:val="subscript"/>
        </w:rPr>
        <w:t>A</w:t>
      </w:r>
      <w:r w:rsidRPr="00713076">
        <w:rPr>
          <w:i/>
        </w:rPr>
        <w:t xml:space="preserve"> </w:t>
      </w:r>
      <w:r>
        <w:t xml:space="preserve">is </w:t>
      </w:r>
      <w:r w:rsidR="00143F91">
        <w:t>MSW generated in the project academic buildings in tons per week</w:t>
      </w:r>
    </w:p>
    <w:p w:rsidR="00143F91" w:rsidRDefault="00143F91" w:rsidP="00713076">
      <w:pPr>
        <w:spacing w:after="0"/>
        <w:jc w:val="both"/>
      </w:pPr>
      <w:r w:rsidRPr="00713076">
        <w:rPr>
          <w:i/>
        </w:rPr>
        <w:t>B</w:t>
      </w:r>
      <w:r w:rsidR="00412DD8">
        <w:rPr>
          <w:i/>
          <w:vertAlign w:val="subscript"/>
        </w:rPr>
        <w:t>A</w:t>
      </w:r>
      <w:r>
        <w:t xml:space="preserve"> is the number of</w:t>
      </w:r>
      <w:r w:rsidR="00412DD8">
        <w:t xml:space="preserve"> academic</w:t>
      </w:r>
      <w:r>
        <w:t xml:space="preserve"> buildings</w:t>
      </w:r>
    </w:p>
    <w:p w:rsidR="00143F91" w:rsidRDefault="00143F91" w:rsidP="00713076">
      <w:pPr>
        <w:spacing w:after="0"/>
        <w:jc w:val="both"/>
      </w:pPr>
      <w:r w:rsidRPr="00A25775">
        <w:rPr>
          <w:i/>
        </w:rPr>
        <w:t>sf</w:t>
      </w:r>
      <w:r>
        <w:t xml:space="preserve"> is the square footage of the buildings</w:t>
      </w:r>
    </w:p>
    <w:p w:rsidR="00143F91" w:rsidRDefault="00143F91" w:rsidP="00713076">
      <w:pPr>
        <w:spacing w:after="0"/>
        <w:jc w:val="both"/>
      </w:pPr>
      <w:r w:rsidRPr="00A25775">
        <w:rPr>
          <w:i/>
        </w:rPr>
        <w:t>R</w:t>
      </w:r>
      <w:r w:rsidR="00A04D32">
        <w:rPr>
          <w:i/>
          <w:vertAlign w:val="subscript"/>
        </w:rPr>
        <w:t>sf</w:t>
      </w:r>
      <w:r>
        <w:t xml:space="preserve"> is the rate of MSW generated</w:t>
      </w:r>
      <w:r w:rsidR="001E5598">
        <w:t xml:space="preserve"> in pounds</w:t>
      </w:r>
      <w:r>
        <w:t xml:space="preserve"> per s</w:t>
      </w:r>
      <w:r w:rsidR="00713076">
        <w:t xml:space="preserve">quare </w:t>
      </w:r>
      <w:r>
        <w:t>f</w:t>
      </w:r>
      <w:r w:rsidR="00713076">
        <w:t>oot</w:t>
      </w:r>
      <w:r>
        <w:t xml:space="preserve"> per week from Table 1</w:t>
      </w:r>
    </w:p>
    <w:bookmarkStart w:id="24" w:name="_Toc292581080"/>
    <w:bookmarkStart w:id="25" w:name="_Toc290524338"/>
    <w:p w:rsidR="005B4FF0" w:rsidRDefault="00D214D7" w:rsidP="001234D7">
      <w:pPr>
        <w:pStyle w:val="Caption"/>
        <w:spacing w:before="120" w:after="120"/>
      </w:pPr>
      <w:r w:rsidRPr="001E5598">
        <w:rPr>
          <w:position w:val="-24"/>
        </w:rPr>
        <w:object w:dxaOrig="3060" w:dyaOrig="620">
          <v:shape id="_x0000_i1031" type="#_x0000_t75" style="width:153pt;height:30.75pt" o:ole="">
            <v:imagedata r:id="rId23" o:title=""/>
          </v:shape>
          <o:OLEObject Type="Embed" ProgID="Equation.DSMT4" ShapeID="_x0000_i1031" DrawAspect="Content" ObjectID="_1366547014" r:id="rId24"/>
        </w:object>
      </w:r>
      <w:r w:rsidR="005B4FF0">
        <w:tab/>
      </w:r>
      <w:r w:rsidR="005B4FF0">
        <w:tab/>
      </w:r>
      <w:r w:rsidR="005B4FF0">
        <w:tab/>
      </w:r>
      <w:r w:rsidR="005B4FF0">
        <w:tab/>
      </w:r>
      <w:r w:rsidR="005B4FF0">
        <w:tab/>
      </w:r>
      <w:r w:rsidR="005B4FF0">
        <w:tab/>
      </w:r>
      <w:r w:rsidR="005B4FF0">
        <w:tab/>
      </w:r>
      <w:r w:rsidR="005B4FF0">
        <w:tab/>
      </w:r>
      <w:r w:rsidR="005B4FF0" w:rsidRPr="00831644">
        <w:rPr>
          <w:b w:val="0"/>
          <w:color w:val="auto"/>
          <w:sz w:val="22"/>
          <w:szCs w:val="22"/>
        </w:rPr>
        <w:t>[</w:t>
      </w:r>
      <w:r w:rsidR="00831644" w:rsidRPr="00831644">
        <w:rPr>
          <w:b w:val="0"/>
          <w:color w:val="auto"/>
          <w:sz w:val="22"/>
          <w:szCs w:val="22"/>
        </w:rPr>
        <w:fldChar w:fldCharType="begin"/>
      </w:r>
      <w:r w:rsidR="00831644" w:rsidRPr="00831644">
        <w:rPr>
          <w:b w:val="0"/>
          <w:color w:val="auto"/>
          <w:sz w:val="22"/>
          <w:szCs w:val="22"/>
        </w:rPr>
        <w:instrText xml:space="preserve"> SEQ Equation \* ARABIC </w:instrText>
      </w:r>
      <w:r w:rsidR="00831644" w:rsidRPr="00831644">
        <w:rPr>
          <w:b w:val="0"/>
          <w:color w:val="auto"/>
          <w:sz w:val="22"/>
          <w:szCs w:val="22"/>
        </w:rPr>
        <w:fldChar w:fldCharType="separate"/>
      </w:r>
      <w:r w:rsidR="00DD0A90">
        <w:rPr>
          <w:b w:val="0"/>
          <w:noProof/>
          <w:color w:val="auto"/>
          <w:sz w:val="22"/>
          <w:szCs w:val="22"/>
        </w:rPr>
        <w:t>7</w:t>
      </w:r>
      <w:r w:rsidR="00831644" w:rsidRPr="00831644">
        <w:rPr>
          <w:b w:val="0"/>
          <w:color w:val="auto"/>
          <w:sz w:val="22"/>
          <w:szCs w:val="22"/>
        </w:rPr>
        <w:fldChar w:fldCharType="end"/>
      </w:r>
      <w:r w:rsidR="005B4FF0" w:rsidRPr="00831644">
        <w:rPr>
          <w:b w:val="0"/>
          <w:color w:val="auto"/>
          <w:sz w:val="22"/>
          <w:szCs w:val="22"/>
        </w:rPr>
        <w:t>]</w:t>
      </w:r>
      <w:bookmarkEnd w:id="24"/>
    </w:p>
    <w:p w:rsidR="005B4FF0" w:rsidRDefault="005B4FF0" w:rsidP="00273A72">
      <w:pPr>
        <w:spacing w:after="0"/>
        <w:jc w:val="both"/>
      </w:pPr>
      <w:r w:rsidRPr="00713076">
        <w:rPr>
          <w:i/>
        </w:rPr>
        <w:t>R</w:t>
      </w:r>
      <w:r w:rsidR="00A04D32">
        <w:rPr>
          <w:i/>
          <w:vertAlign w:val="subscript"/>
        </w:rPr>
        <w:t>S</w:t>
      </w:r>
      <w:r>
        <w:t xml:space="preserve"> is MSW generation rate</w:t>
      </w:r>
      <w:r w:rsidR="00273A72">
        <w:t xml:space="preserve"> in pounds</w:t>
      </w:r>
      <w:r>
        <w:t xml:space="preserve"> per student per week</w:t>
      </w:r>
      <w:r w:rsidR="00273A72">
        <w:t xml:space="preserve"> from Table 1</w:t>
      </w:r>
    </w:p>
    <w:p w:rsidR="00E7679E" w:rsidRDefault="00E7679E" w:rsidP="00E7679E">
      <w:pPr>
        <w:spacing w:before="240" w:after="0"/>
        <w:jc w:val="both"/>
      </w:pPr>
      <w:r>
        <w:t>Total MSW for the proposed project is the sum of the MSW from the academic and dormitory buildings.</w:t>
      </w:r>
    </w:p>
    <w:bookmarkStart w:id="26" w:name="_Toc292581081"/>
    <w:p w:rsidR="00E7679E" w:rsidRDefault="00E7679E" w:rsidP="001234D7">
      <w:pPr>
        <w:pStyle w:val="Caption"/>
        <w:spacing w:before="120" w:after="120"/>
      </w:pPr>
      <w:r w:rsidRPr="00E7679E">
        <w:rPr>
          <w:position w:val="-12"/>
        </w:rPr>
        <w:object w:dxaOrig="2580" w:dyaOrig="360">
          <v:shape id="_x0000_i1032" type="#_x0000_t75" style="width:129pt;height:18pt" o:ole="">
            <v:imagedata r:id="rId25" o:title=""/>
          </v:shape>
          <o:OLEObject Type="Embed" ProgID="Equation.DSMT4" ShapeID="_x0000_i1032" DrawAspect="Content" ObjectID="_1366547015" r:id="rId26"/>
        </w:object>
      </w:r>
      <w:r>
        <w:tab/>
      </w:r>
      <w:r>
        <w:tab/>
      </w:r>
      <w:r>
        <w:tab/>
      </w:r>
      <w:r>
        <w:tab/>
      </w:r>
      <w:r>
        <w:tab/>
      </w:r>
      <w:r>
        <w:tab/>
      </w:r>
      <w:r>
        <w:tab/>
      </w:r>
      <w:r>
        <w:tab/>
      </w:r>
      <w:r>
        <w:tab/>
      </w:r>
      <w:r w:rsidRPr="00831644">
        <w:rPr>
          <w:b w:val="0"/>
          <w:color w:val="auto"/>
          <w:sz w:val="22"/>
          <w:szCs w:val="22"/>
        </w:rPr>
        <w:t>[</w:t>
      </w:r>
      <w:r w:rsidR="00831644" w:rsidRPr="00831644">
        <w:rPr>
          <w:b w:val="0"/>
          <w:color w:val="auto"/>
          <w:sz w:val="22"/>
          <w:szCs w:val="22"/>
        </w:rPr>
        <w:fldChar w:fldCharType="begin"/>
      </w:r>
      <w:r w:rsidR="00831644" w:rsidRPr="00831644">
        <w:rPr>
          <w:b w:val="0"/>
          <w:color w:val="auto"/>
          <w:sz w:val="22"/>
          <w:szCs w:val="22"/>
        </w:rPr>
        <w:instrText xml:space="preserve"> SEQ Equation \* ARABIC </w:instrText>
      </w:r>
      <w:r w:rsidR="00831644" w:rsidRPr="00831644">
        <w:rPr>
          <w:b w:val="0"/>
          <w:color w:val="auto"/>
          <w:sz w:val="22"/>
          <w:szCs w:val="22"/>
        </w:rPr>
        <w:fldChar w:fldCharType="separate"/>
      </w:r>
      <w:r w:rsidR="00DD0A90">
        <w:rPr>
          <w:b w:val="0"/>
          <w:noProof/>
          <w:color w:val="auto"/>
          <w:sz w:val="22"/>
          <w:szCs w:val="22"/>
        </w:rPr>
        <w:t>8</w:t>
      </w:r>
      <w:r w:rsidR="00831644" w:rsidRPr="00831644">
        <w:rPr>
          <w:b w:val="0"/>
          <w:color w:val="auto"/>
          <w:sz w:val="22"/>
          <w:szCs w:val="22"/>
        </w:rPr>
        <w:fldChar w:fldCharType="end"/>
      </w:r>
      <w:r w:rsidRPr="00831644">
        <w:rPr>
          <w:b w:val="0"/>
          <w:color w:val="auto"/>
          <w:sz w:val="22"/>
          <w:szCs w:val="22"/>
        </w:rPr>
        <w:t>]</w:t>
      </w:r>
      <w:bookmarkEnd w:id="26"/>
    </w:p>
    <w:p w:rsidR="00E7679E" w:rsidRPr="00E7679E" w:rsidRDefault="00E7679E" w:rsidP="00E7679E">
      <w:pPr>
        <w:spacing w:before="240" w:after="0"/>
        <w:jc w:val="both"/>
      </w:pPr>
      <w:r w:rsidRPr="00E7679E">
        <w:rPr>
          <w:i/>
        </w:rPr>
        <w:t>MSW</w:t>
      </w:r>
      <w:r w:rsidRPr="00E7679E">
        <w:rPr>
          <w:i/>
          <w:vertAlign w:val="subscript"/>
        </w:rPr>
        <w:t>P</w:t>
      </w:r>
      <w:r>
        <w:rPr>
          <w:i/>
        </w:rPr>
        <w:t xml:space="preserve"> </w:t>
      </w:r>
      <w:r>
        <w:t>is total MSW for the project in tons per week</w:t>
      </w:r>
    </w:p>
    <w:p w:rsidR="001A4CE8" w:rsidRPr="008A3D3C" w:rsidRDefault="007B4B3B" w:rsidP="001234D7">
      <w:pPr>
        <w:pStyle w:val="Heading2"/>
        <w:spacing w:before="240"/>
      </w:pPr>
      <w:bookmarkStart w:id="27" w:name="_Toc292629344"/>
      <w:bookmarkEnd w:id="25"/>
      <w:r>
        <w:t xml:space="preserve">4.3 </w:t>
      </w:r>
      <w:r w:rsidR="001A4CE8" w:rsidRPr="008A3D3C">
        <w:t>Determining Impact Significance</w:t>
      </w:r>
      <w:bookmarkEnd w:id="27"/>
    </w:p>
    <w:p w:rsidR="001A4CE8" w:rsidRDefault="001A4CE8" w:rsidP="001234D7">
      <w:pPr>
        <w:jc w:val="both"/>
      </w:pPr>
      <w:r>
        <w:t xml:space="preserve">Significance refers to a project’s impact overwhelming the </w:t>
      </w:r>
      <w:r w:rsidR="00E7679E">
        <w:t>DSNY and commercial hauling</w:t>
      </w:r>
      <w:r>
        <w:t xml:space="preserve"> infrastructure that serves the project area. Significance is judged relative to the 50 tons per week benchmark, and from dislocation or disruption of municipal solid waste collection and facilities either by development or by regulation. The procedure for determining significance for the new CCNY Development will include measuring the difference between the existing MSW</w:t>
      </w:r>
      <w:r w:rsidR="00A71C23">
        <w:t xml:space="preserve"> and CSW</w:t>
      </w:r>
      <w:r>
        <w:t xml:space="preserve"> generation and projected MSW generation from the proposed project and comparing the result to the benchmark:</w:t>
      </w:r>
    </w:p>
    <w:bookmarkStart w:id="28" w:name="_Toc292581082"/>
    <w:p w:rsidR="001A4CE8" w:rsidRDefault="00D63DF3" w:rsidP="00831644">
      <w:pPr>
        <w:pStyle w:val="Caption"/>
        <w:rPr>
          <w:rFonts w:eastAsiaTheme="minorEastAsia"/>
        </w:rPr>
      </w:pPr>
      <w:r w:rsidRPr="00D63DF3">
        <w:rPr>
          <w:rFonts w:eastAsiaTheme="minorEastAsia"/>
          <w:position w:val="-14"/>
        </w:rPr>
        <w:object w:dxaOrig="6340" w:dyaOrig="400">
          <v:shape id="_x0000_i1033" type="#_x0000_t75" style="width:317.25pt;height:20.25pt" o:ole="">
            <v:imagedata r:id="rId27" o:title=""/>
          </v:shape>
          <o:OLEObject Type="Embed" ProgID="Equation.DSMT4" ShapeID="_x0000_i1033" DrawAspect="Content" ObjectID="_1366547016" r:id="rId28"/>
        </w:object>
      </w:r>
      <w:r w:rsidR="001A4CE8">
        <w:rPr>
          <w:rFonts w:eastAsiaTheme="minorEastAsia"/>
        </w:rPr>
        <w:tab/>
      </w:r>
      <w:r w:rsidR="001A4CE8">
        <w:rPr>
          <w:rFonts w:eastAsiaTheme="minorEastAsia"/>
        </w:rPr>
        <w:tab/>
      </w:r>
      <w:r w:rsidR="001A4CE8">
        <w:rPr>
          <w:rFonts w:eastAsiaTheme="minorEastAsia"/>
        </w:rPr>
        <w:tab/>
      </w:r>
      <w:r w:rsidR="001A4CE8">
        <w:rPr>
          <w:rFonts w:eastAsiaTheme="minorEastAsia"/>
        </w:rPr>
        <w:tab/>
      </w:r>
      <w:r w:rsidR="001A4CE8" w:rsidRPr="00831644">
        <w:rPr>
          <w:rFonts w:eastAsiaTheme="minorEastAsia"/>
          <w:b w:val="0"/>
          <w:color w:val="auto"/>
          <w:sz w:val="22"/>
          <w:szCs w:val="22"/>
        </w:rPr>
        <w:t>[</w:t>
      </w:r>
      <w:r w:rsidR="00831644" w:rsidRPr="00831644">
        <w:rPr>
          <w:rFonts w:eastAsiaTheme="minorEastAsia"/>
          <w:b w:val="0"/>
          <w:color w:val="auto"/>
          <w:sz w:val="22"/>
          <w:szCs w:val="22"/>
        </w:rPr>
        <w:fldChar w:fldCharType="begin"/>
      </w:r>
      <w:r w:rsidR="00831644" w:rsidRPr="00831644">
        <w:rPr>
          <w:rFonts w:eastAsiaTheme="minorEastAsia"/>
          <w:b w:val="0"/>
          <w:color w:val="auto"/>
          <w:sz w:val="22"/>
          <w:szCs w:val="22"/>
        </w:rPr>
        <w:instrText xml:space="preserve"> SEQ Equation \* ARABIC </w:instrText>
      </w:r>
      <w:r w:rsidR="00831644" w:rsidRPr="00831644">
        <w:rPr>
          <w:rFonts w:eastAsiaTheme="minorEastAsia"/>
          <w:b w:val="0"/>
          <w:color w:val="auto"/>
          <w:sz w:val="22"/>
          <w:szCs w:val="22"/>
        </w:rPr>
        <w:fldChar w:fldCharType="separate"/>
      </w:r>
      <w:r w:rsidR="00DD0A90">
        <w:rPr>
          <w:rFonts w:eastAsiaTheme="minorEastAsia"/>
          <w:b w:val="0"/>
          <w:noProof/>
          <w:color w:val="auto"/>
          <w:sz w:val="22"/>
          <w:szCs w:val="22"/>
        </w:rPr>
        <w:t>9</w:t>
      </w:r>
      <w:r w:rsidR="00831644" w:rsidRPr="00831644">
        <w:rPr>
          <w:rFonts w:eastAsiaTheme="minorEastAsia"/>
          <w:b w:val="0"/>
          <w:color w:val="auto"/>
          <w:sz w:val="22"/>
          <w:szCs w:val="22"/>
        </w:rPr>
        <w:fldChar w:fldCharType="end"/>
      </w:r>
      <w:r w:rsidR="001A4CE8" w:rsidRPr="00831644">
        <w:rPr>
          <w:rFonts w:eastAsiaTheme="minorEastAsia"/>
          <w:b w:val="0"/>
          <w:color w:val="auto"/>
          <w:sz w:val="22"/>
          <w:szCs w:val="22"/>
        </w:rPr>
        <w:t>]</w:t>
      </w:r>
      <w:bookmarkEnd w:id="28"/>
    </w:p>
    <w:p w:rsidR="001A4CE8" w:rsidRDefault="001A4CE8" w:rsidP="00052577">
      <w:pPr>
        <w:jc w:val="both"/>
        <w:rPr>
          <w:rFonts w:eastAsiaTheme="minorEastAsia"/>
        </w:rPr>
      </w:pPr>
      <w:r>
        <w:rPr>
          <w:rFonts w:eastAsiaTheme="minorEastAsia"/>
        </w:rPr>
        <w:t>Significance with respect to collection and facilities operation is assessed by identifying collection methods and facilities within the project area. Qualitative differences between MSW collection under build conditions are assessed by comparing collection methods in existing and build conditions. Collection method changes under build conditions that are unprecedented or markedly increase collection time or effort could be considered significant. Significance with respect to MSW facilities shall be closure or dislocation of existing facilities.  As the build condition includes demolition of all existing buildings within the project area, any MSW facility within the project area would necessarily be closed, leading to a finding of significant impact. CEQR 14.400 allows for a finding of no significant impact if EIS identifies substitute capacity within the region. Determination of impact with respect to MSW facilities requires identifying building use within the target area. City mapping is analyzed, building by building to identify MSW facilities within the target area.</w:t>
      </w:r>
    </w:p>
    <w:p w:rsidR="00F0187E" w:rsidRDefault="00F0187E" w:rsidP="006B4A7C">
      <w:pPr>
        <w:spacing w:before="240"/>
        <w:rPr>
          <w:sz w:val="28"/>
          <w:szCs w:val="28"/>
        </w:rPr>
      </w:pPr>
    </w:p>
    <w:p w:rsidR="006B4A7C" w:rsidRPr="008A3D3C" w:rsidRDefault="007B4B3B" w:rsidP="001234D7">
      <w:pPr>
        <w:spacing w:before="240" w:after="120"/>
        <w:rPr>
          <w:sz w:val="28"/>
          <w:szCs w:val="28"/>
        </w:rPr>
      </w:pPr>
      <w:r>
        <w:rPr>
          <w:sz w:val="28"/>
          <w:szCs w:val="28"/>
        </w:rPr>
        <w:t xml:space="preserve">4.3.1 </w:t>
      </w:r>
      <w:r w:rsidR="006B4A7C" w:rsidRPr="008A3D3C">
        <w:rPr>
          <w:sz w:val="28"/>
          <w:szCs w:val="28"/>
        </w:rPr>
        <w:t>Assessing impact on MSW collection infrastructure</w:t>
      </w:r>
    </w:p>
    <w:p w:rsidR="006B4A7C" w:rsidRDefault="006B4A7C" w:rsidP="006B4A7C">
      <w:pPr>
        <w:jc w:val="both"/>
      </w:pPr>
      <w:r>
        <w:lastRenderedPageBreak/>
        <w:t xml:space="preserve">Where a proposed project is expected to generate substantial new solid waste of at least 50 tons per week, a detailed analysis of required sanitation services is indicated. Said analysis assists in determining secondary impacts to other CEQR attributes, even where it is not itself a significant impact. </w:t>
      </w:r>
    </w:p>
    <w:p w:rsidR="006B4A7C" w:rsidRDefault="006B4A7C" w:rsidP="006B4A7C">
      <w:pPr>
        <w:jc w:val="both"/>
      </w:pPr>
      <w:r>
        <w:t>Analysis will be of truck trips per week with respect to existing usage and build condition. The change in MSW generated will come from</w:t>
      </w:r>
      <w:r w:rsidRPr="00BF0D08">
        <w:t xml:space="preserve"> </w:t>
      </w:r>
      <w:r>
        <w:t>the net change in population living in the project area and the project area shift from commercial/residential to academic/residential.</w:t>
      </w:r>
    </w:p>
    <w:p w:rsidR="006B4A7C" w:rsidRDefault="006B4A7C" w:rsidP="006B4A7C">
      <w:pPr>
        <w:jc w:val="both"/>
      </w:pPr>
      <w:r>
        <w:t>Truck capacities for DSNY and commercial carriers are detailed in CEQR 14.312.  Existing condition impact on MSW collection infrastructure is calculated as follows:</w:t>
      </w:r>
    </w:p>
    <w:p w:rsidR="006B4A7C" w:rsidRDefault="006B4A7C" w:rsidP="006B4A7C">
      <w:pPr>
        <w:jc w:val="both"/>
      </w:pPr>
      <w:r>
        <w:t>Existing DSNY truck usage:</w:t>
      </w:r>
    </w:p>
    <w:bookmarkStart w:id="29" w:name="_Toc292581083"/>
    <w:p w:rsidR="006B4A7C" w:rsidRDefault="00F87359" w:rsidP="001234D7">
      <w:pPr>
        <w:pStyle w:val="Caption"/>
        <w:spacing w:after="120"/>
        <w:rPr>
          <w:rFonts w:eastAsiaTheme="minorEastAsia"/>
        </w:rPr>
      </w:pPr>
      <w:r w:rsidRPr="00F87359">
        <w:rPr>
          <w:rFonts w:eastAsiaTheme="minorEastAsia"/>
          <w:position w:val="-56"/>
        </w:rPr>
        <w:object w:dxaOrig="3420" w:dyaOrig="1300">
          <v:shape id="_x0000_i1034" type="#_x0000_t75" style="width:171pt;height:65.25pt" o:ole="">
            <v:imagedata r:id="rId29" o:title=""/>
          </v:shape>
          <o:OLEObject Type="Embed" ProgID="Equation.DSMT4" ShapeID="_x0000_i1034" DrawAspect="Content" ObjectID="_1366547017" r:id="rId30"/>
        </w:objec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006B4A7C" w:rsidRPr="00831644">
        <w:rPr>
          <w:rFonts w:eastAsiaTheme="minorEastAsia"/>
          <w:b w:val="0"/>
          <w:color w:val="auto"/>
          <w:sz w:val="22"/>
          <w:szCs w:val="22"/>
        </w:rPr>
        <w:t>[</w:t>
      </w:r>
      <w:r w:rsidR="00831644" w:rsidRPr="00831644">
        <w:rPr>
          <w:rFonts w:eastAsiaTheme="minorEastAsia"/>
          <w:b w:val="0"/>
          <w:color w:val="auto"/>
          <w:sz w:val="22"/>
          <w:szCs w:val="22"/>
        </w:rPr>
        <w:fldChar w:fldCharType="begin"/>
      </w:r>
      <w:r w:rsidR="00831644" w:rsidRPr="00831644">
        <w:rPr>
          <w:rFonts w:eastAsiaTheme="minorEastAsia"/>
          <w:b w:val="0"/>
          <w:color w:val="auto"/>
          <w:sz w:val="22"/>
          <w:szCs w:val="22"/>
        </w:rPr>
        <w:instrText xml:space="preserve"> SEQ Equation \* ARABIC </w:instrText>
      </w:r>
      <w:r w:rsidR="00831644" w:rsidRPr="00831644">
        <w:rPr>
          <w:rFonts w:eastAsiaTheme="minorEastAsia"/>
          <w:b w:val="0"/>
          <w:color w:val="auto"/>
          <w:sz w:val="22"/>
          <w:szCs w:val="22"/>
        </w:rPr>
        <w:fldChar w:fldCharType="separate"/>
      </w:r>
      <w:r w:rsidR="00DD0A90">
        <w:rPr>
          <w:rFonts w:eastAsiaTheme="minorEastAsia"/>
          <w:b w:val="0"/>
          <w:noProof/>
          <w:color w:val="auto"/>
          <w:sz w:val="22"/>
          <w:szCs w:val="22"/>
        </w:rPr>
        <w:t>10</w:t>
      </w:r>
      <w:r w:rsidR="00831644" w:rsidRPr="00831644">
        <w:rPr>
          <w:rFonts w:eastAsiaTheme="minorEastAsia"/>
          <w:b w:val="0"/>
          <w:color w:val="auto"/>
          <w:sz w:val="22"/>
          <w:szCs w:val="22"/>
        </w:rPr>
        <w:fldChar w:fldCharType="end"/>
      </w:r>
      <w:r w:rsidR="006B4A7C" w:rsidRPr="00831644">
        <w:rPr>
          <w:rFonts w:eastAsiaTheme="minorEastAsia"/>
          <w:b w:val="0"/>
          <w:color w:val="auto"/>
          <w:sz w:val="22"/>
          <w:szCs w:val="22"/>
        </w:rPr>
        <w:t>]</w:t>
      </w:r>
      <w:bookmarkEnd w:id="29"/>
    </w:p>
    <w:p w:rsidR="006B4A7C" w:rsidRDefault="006B4A7C" w:rsidP="006B4A7C">
      <w:pPr>
        <w:spacing w:after="0"/>
        <w:jc w:val="both"/>
        <w:rPr>
          <w:rFonts w:eastAsiaTheme="minorEastAsia"/>
        </w:rPr>
      </w:pPr>
      <w:r w:rsidRPr="00E7679E">
        <w:rPr>
          <w:rFonts w:eastAsiaTheme="minorEastAsia"/>
          <w:i/>
        </w:rPr>
        <w:t>Cap</w:t>
      </w:r>
      <w:r w:rsidRPr="00E7679E">
        <w:rPr>
          <w:rFonts w:eastAsiaTheme="minorEastAsia"/>
          <w:i/>
          <w:vertAlign w:val="subscript"/>
        </w:rPr>
        <w:t>DSNY</w:t>
      </w:r>
      <w:r>
        <w:rPr>
          <w:rFonts w:eastAsiaTheme="minorEastAsia"/>
        </w:rPr>
        <w:t xml:space="preserve"> is municipal truck capacity in tons</w:t>
      </w:r>
    </w:p>
    <w:p w:rsidR="006B4A7C" w:rsidRDefault="006B4A7C" w:rsidP="006B4A7C">
      <w:pPr>
        <w:spacing w:after="0"/>
        <w:jc w:val="both"/>
        <w:rPr>
          <w:rFonts w:eastAsiaTheme="minorEastAsia"/>
        </w:rPr>
      </w:pPr>
      <w:r w:rsidRPr="00E7679E">
        <w:rPr>
          <w:rFonts w:eastAsiaTheme="minorEastAsia"/>
          <w:i/>
        </w:rPr>
        <w:t>Trucks</w:t>
      </w:r>
      <w:r>
        <w:rPr>
          <w:rFonts w:eastAsiaTheme="minorEastAsia"/>
        </w:rPr>
        <w:t xml:space="preserve"> is truck trips per week</w:t>
      </w:r>
    </w:p>
    <w:p w:rsidR="006B4A7C" w:rsidRPr="00801869" w:rsidRDefault="006B4A7C" w:rsidP="006B4A7C">
      <w:pPr>
        <w:spacing w:before="240"/>
        <w:jc w:val="both"/>
      </w:pPr>
      <w:r>
        <w:rPr>
          <w:rFonts w:eastAsiaTheme="minorEastAsia"/>
        </w:rPr>
        <w:t xml:space="preserve">The leftmost term in equations 8 </w:t>
      </w:r>
      <w:r w:rsidR="00B77C0C">
        <w:rPr>
          <w:rFonts w:eastAsiaTheme="minorEastAsia"/>
        </w:rPr>
        <w:t xml:space="preserve">through </w:t>
      </w:r>
      <w:r>
        <w:rPr>
          <w:rFonts w:eastAsiaTheme="minorEastAsia"/>
        </w:rPr>
        <w:t>10 is rounded up with a ceiling function represented by the bar in the formula. This rounding-up accounts for the integer nature of truck counting. MSW collection happens three times per week in New York</w:t>
      </w:r>
      <w:r w:rsidR="00B77C0C">
        <w:rPr>
          <w:rFonts w:eastAsiaTheme="minorEastAsia"/>
        </w:rPr>
        <w:t xml:space="preserve"> City</w:t>
      </w:r>
      <w:r>
        <w:rPr>
          <w:rFonts w:eastAsiaTheme="minorEastAsia"/>
        </w:rPr>
        <w:t>, so in equation 8 the area’s residential MSW would be collected in thirds, with the rounding-up happening for each collection day.</w:t>
      </w:r>
    </w:p>
    <w:p w:rsidR="006B4A7C" w:rsidRDefault="006B4A7C" w:rsidP="006B4A7C">
      <w:pPr>
        <w:jc w:val="both"/>
      </w:pPr>
      <w:r>
        <w:t>Existing truck usage commercial:</w:t>
      </w:r>
    </w:p>
    <w:bookmarkStart w:id="30" w:name="_Toc292581084"/>
    <w:p w:rsidR="006B4A7C" w:rsidRDefault="006B4A7C" w:rsidP="001234D7">
      <w:pPr>
        <w:pStyle w:val="Caption"/>
        <w:spacing w:after="120"/>
        <w:rPr>
          <w:rFonts w:eastAsiaTheme="minorEastAsia"/>
        </w:rPr>
      </w:pPr>
      <w:r w:rsidRPr="006E5270">
        <w:rPr>
          <w:rFonts w:eastAsiaTheme="minorEastAsia"/>
          <w:position w:val="-32"/>
        </w:rPr>
        <w:object w:dxaOrig="1840" w:dyaOrig="800">
          <v:shape id="_x0000_i1035" type="#_x0000_t75" style="width:91.5pt;height:39.75pt" o:ole="">
            <v:imagedata r:id="rId31" o:title=""/>
          </v:shape>
          <o:OLEObject Type="Embed" ProgID="Equation.DSMT4" ShapeID="_x0000_i1035" DrawAspect="Content" ObjectID="_1366547018" r:id="rId32"/>
        </w:objec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831644">
        <w:rPr>
          <w:rFonts w:eastAsiaTheme="minorEastAsia"/>
          <w:b w:val="0"/>
          <w:color w:val="auto"/>
          <w:sz w:val="22"/>
          <w:szCs w:val="22"/>
        </w:rPr>
        <w:t>[</w:t>
      </w:r>
      <w:r w:rsidR="00831644" w:rsidRPr="00831644">
        <w:rPr>
          <w:rFonts w:eastAsiaTheme="minorEastAsia"/>
          <w:b w:val="0"/>
          <w:color w:val="auto"/>
          <w:sz w:val="22"/>
          <w:szCs w:val="22"/>
        </w:rPr>
        <w:fldChar w:fldCharType="begin"/>
      </w:r>
      <w:r w:rsidR="00831644" w:rsidRPr="00831644">
        <w:rPr>
          <w:rFonts w:eastAsiaTheme="minorEastAsia"/>
          <w:b w:val="0"/>
          <w:color w:val="auto"/>
          <w:sz w:val="22"/>
          <w:szCs w:val="22"/>
        </w:rPr>
        <w:instrText xml:space="preserve"> SEQ Equation \* ARABIC </w:instrText>
      </w:r>
      <w:r w:rsidR="00831644" w:rsidRPr="00831644">
        <w:rPr>
          <w:rFonts w:eastAsiaTheme="minorEastAsia"/>
          <w:b w:val="0"/>
          <w:color w:val="auto"/>
          <w:sz w:val="22"/>
          <w:szCs w:val="22"/>
        </w:rPr>
        <w:fldChar w:fldCharType="separate"/>
      </w:r>
      <w:r w:rsidR="00DD0A90">
        <w:rPr>
          <w:rFonts w:eastAsiaTheme="minorEastAsia"/>
          <w:b w:val="0"/>
          <w:noProof/>
          <w:color w:val="auto"/>
          <w:sz w:val="22"/>
          <w:szCs w:val="22"/>
        </w:rPr>
        <w:t>11</w:t>
      </w:r>
      <w:r w:rsidR="00831644" w:rsidRPr="00831644">
        <w:rPr>
          <w:rFonts w:eastAsiaTheme="minorEastAsia"/>
          <w:b w:val="0"/>
          <w:color w:val="auto"/>
          <w:sz w:val="22"/>
          <w:szCs w:val="22"/>
        </w:rPr>
        <w:fldChar w:fldCharType="end"/>
      </w:r>
      <w:r w:rsidRPr="00831644">
        <w:rPr>
          <w:rFonts w:eastAsiaTheme="minorEastAsia"/>
          <w:b w:val="0"/>
          <w:color w:val="auto"/>
          <w:sz w:val="22"/>
          <w:szCs w:val="22"/>
        </w:rPr>
        <w:t>]</w:t>
      </w:r>
      <w:bookmarkEnd w:id="30"/>
    </w:p>
    <w:p w:rsidR="006B4A7C" w:rsidRDefault="006B4A7C" w:rsidP="006B4A7C">
      <w:pPr>
        <w:jc w:val="both"/>
        <w:rPr>
          <w:rFonts w:eastAsiaTheme="minorEastAsia"/>
        </w:rPr>
      </w:pPr>
      <w:r w:rsidRPr="00E7679E">
        <w:rPr>
          <w:rFonts w:eastAsiaTheme="minorEastAsia"/>
          <w:i/>
        </w:rPr>
        <w:t>Cap</w:t>
      </w:r>
      <w:r w:rsidRPr="00E7679E">
        <w:rPr>
          <w:rFonts w:eastAsiaTheme="minorEastAsia"/>
          <w:i/>
          <w:vertAlign w:val="subscript"/>
        </w:rPr>
        <w:t>CT</w:t>
      </w:r>
      <w:r>
        <w:rPr>
          <w:rFonts w:eastAsiaTheme="minorEastAsia"/>
        </w:rPr>
        <w:t xml:space="preserve"> is Commercial truck capacity in tons</w:t>
      </w:r>
    </w:p>
    <w:p w:rsidR="006B4A7C" w:rsidRPr="00801869" w:rsidRDefault="006B4A7C" w:rsidP="006B4A7C">
      <w:pPr>
        <w:jc w:val="both"/>
      </w:pPr>
      <w:r>
        <w:rPr>
          <w:rFonts w:eastAsiaTheme="minorEastAsia"/>
        </w:rPr>
        <w:t>Commercial hauling is on an unknown schedule and so is calculated in this simple form.</w:t>
      </w:r>
    </w:p>
    <w:p w:rsidR="006B4A7C" w:rsidRDefault="006B4A7C" w:rsidP="006B4A7C">
      <w:pPr>
        <w:jc w:val="both"/>
      </w:pPr>
      <w:r>
        <w:t>Build condition truck usage:</w:t>
      </w:r>
    </w:p>
    <w:bookmarkStart w:id="31" w:name="_Toc292581085"/>
    <w:p w:rsidR="006B4A7C" w:rsidRDefault="006B4A7C" w:rsidP="001234D7">
      <w:pPr>
        <w:pStyle w:val="Caption"/>
        <w:spacing w:after="120"/>
        <w:rPr>
          <w:rFonts w:eastAsiaTheme="minorEastAsia"/>
          <w:b w:val="0"/>
          <w:color w:val="auto"/>
          <w:sz w:val="22"/>
          <w:szCs w:val="22"/>
        </w:rPr>
      </w:pPr>
      <w:r w:rsidRPr="006E5270">
        <w:rPr>
          <w:rFonts w:eastAsiaTheme="minorEastAsia"/>
          <w:position w:val="-32"/>
        </w:rPr>
        <w:object w:dxaOrig="2020" w:dyaOrig="800">
          <v:shape id="_x0000_i1036" type="#_x0000_t75" style="width:100.5pt;height:39.75pt" o:ole="">
            <v:imagedata r:id="rId33" o:title=""/>
          </v:shape>
          <o:OLEObject Type="Embed" ProgID="Equation.DSMT4" ShapeID="_x0000_i1036" DrawAspect="Content" ObjectID="_1366547019" r:id="rId34"/>
        </w:objec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831644">
        <w:rPr>
          <w:rFonts w:eastAsiaTheme="minorEastAsia"/>
          <w:b w:val="0"/>
          <w:color w:val="auto"/>
          <w:sz w:val="22"/>
          <w:szCs w:val="22"/>
        </w:rPr>
        <w:t>[</w:t>
      </w:r>
      <w:r w:rsidR="00831644" w:rsidRPr="00831644">
        <w:rPr>
          <w:rFonts w:eastAsiaTheme="minorEastAsia"/>
          <w:b w:val="0"/>
          <w:color w:val="auto"/>
          <w:sz w:val="22"/>
          <w:szCs w:val="22"/>
        </w:rPr>
        <w:fldChar w:fldCharType="begin"/>
      </w:r>
      <w:r w:rsidR="00831644" w:rsidRPr="00831644">
        <w:rPr>
          <w:rFonts w:eastAsiaTheme="minorEastAsia"/>
          <w:b w:val="0"/>
          <w:color w:val="auto"/>
          <w:sz w:val="22"/>
          <w:szCs w:val="22"/>
        </w:rPr>
        <w:instrText xml:space="preserve"> SEQ Equation \* ARABIC </w:instrText>
      </w:r>
      <w:r w:rsidR="00831644" w:rsidRPr="00831644">
        <w:rPr>
          <w:rFonts w:eastAsiaTheme="minorEastAsia"/>
          <w:b w:val="0"/>
          <w:color w:val="auto"/>
          <w:sz w:val="22"/>
          <w:szCs w:val="22"/>
        </w:rPr>
        <w:fldChar w:fldCharType="separate"/>
      </w:r>
      <w:r w:rsidR="00DD0A90">
        <w:rPr>
          <w:rFonts w:eastAsiaTheme="minorEastAsia"/>
          <w:b w:val="0"/>
          <w:noProof/>
          <w:color w:val="auto"/>
          <w:sz w:val="22"/>
          <w:szCs w:val="22"/>
        </w:rPr>
        <w:t>12</w:t>
      </w:r>
      <w:r w:rsidR="00831644" w:rsidRPr="00831644">
        <w:rPr>
          <w:rFonts w:eastAsiaTheme="minorEastAsia"/>
          <w:b w:val="0"/>
          <w:color w:val="auto"/>
          <w:sz w:val="22"/>
          <w:szCs w:val="22"/>
        </w:rPr>
        <w:fldChar w:fldCharType="end"/>
      </w:r>
      <w:r w:rsidRPr="00831644">
        <w:rPr>
          <w:rFonts w:eastAsiaTheme="minorEastAsia"/>
          <w:b w:val="0"/>
          <w:color w:val="auto"/>
          <w:sz w:val="22"/>
          <w:szCs w:val="22"/>
        </w:rPr>
        <w:t>]</w:t>
      </w:r>
      <w:bookmarkEnd w:id="31"/>
    </w:p>
    <w:p w:rsidR="002B30D1" w:rsidRDefault="006B4A7C" w:rsidP="006B4A7C">
      <w:pPr>
        <w:jc w:val="both"/>
        <w:rPr>
          <w:rFonts w:eastAsiaTheme="minorEastAsia"/>
        </w:rPr>
      </w:pPr>
      <w:r>
        <w:rPr>
          <w:rFonts w:eastAsiaTheme="minorEastAsia"/>
        </w:rPr>
        <w:t xml:space="preserve">In addition to the number of trucks used, the amount of time solid waste hauling trucks are collecting in an area is part of MSW infrastructure expenditure and has secondary effects on traffic, noise and air quality. The amount of time trucks are on the street is related to the number of stops the trucks make in the area. For existing conditions, </w:t>
      </w:r>
      <w:r w:rsidR="002B30D1">
        <w:rPr>
          <w:rFonts w:eastAsiaTheme="minorEastAsia"/>
        </w:rPr>
        <w:t xml:space="preserve">DSNY refuse </w:t>
      </w:r>
      <w:r>
        <w:rPr>
          <w:rFonts w:eastAsiaTheme="minorEastAsia"/>
        </w:rPr>
        <w:t>trucks make stops at each</w:t>
      </w:r>
      <w:r w:rsidR="002B30D1">
        <w:rPr>
          <w:rFonts w:eastAsiaTheme="minorEastAsia"/>
        </w:rPr>
        <w:t xml:space="preserve"> residential</w:t>
      </w:r>
      <w:r>
        <w:rPr>
          <w:rFonts w:eastAsiaTheme="minorEastAsia"/>
        </w:rPr>
        <w:t xml:space="preserve"> building </w:t>
      </w:r>
      <w:r w:rsidR="002B30D1">
        <w:rPr>
          <w:rFonts w:eastAsiaTheme="minorEastAsia"/>
        </w:rPr>
        <w:t xml:space="preserve">three times per week. Two </w:t>
      </w:r>
      <w:r w:rsidR="00CD32DE">
        <w:rPr>
          <w:rFonts w:eastAsiaTheme="minorEastAsia"/>
        </w:rPr>
        <w:t xml:space="preserve">types of </w:t>
      </w:r>
      <w:r w:rsidR="002B30D1">
        <w:rPr>
          <w:rFonts w:eastAsiaTheme="minorEastAsia"/>
        </w:rPr>
        <w:t>recycling trucks make one stop per week</w:t>
      </w:r>
      <w:r w:rsidR="00CD32DE">
        <w:rPr>
          <w:rFonts w:eastAsiaTheme="minorEastAsia"/>
        </w:rPr>
        <w:t xml:space="preserve"> each</w:t>
      </w:r>
      <w:r w:rsidR="002B30D1">
        <w:rPr>
          <w:rFonts w:eastAsiaTheme="minorEastAsia"/>
        </w:rPr>
        <w:t>. Commercial haulers are on unknown schedules but for this calculation are considered to make three stop</w:t>
      </w:r>
      <w:r w:rsidR="00BF5A3C">
        <w:rPr>
          <w:rFonts w:eastAsiaTheme="minorEastAsia"/>
        </w:rPr>
        <w:t>s per week at each location</w:t>
      </w:r>
      <w:r w:rsidR="002B30D1">
        <w:rPr>
          <w:rFonts w:eastAsiaTheme="minorEastAsia"/>
        </w:rPr>
        <w:t xml:space="preserve">. For existing conditions, number of stops per week </w:t>
      </w:r>
      <w:r w:rsidR="00BF5A3C">
        <w:rPr>
          <w:rFonts w:eastAsiaTheme="minorEastAsia"/>
        </w:rPr>
        <w:t>is:</w:t>
      </w:r>
    </w:p>
    <w:bookmarkStart w:id="32" w:name="_Toc292581086"/>
    <w:p w:rsidR="002B30D1" w:rsidRDefault="004E73BC" w:rsidP="001234D7">
      <w:pPr>
        <w:pStyle w:val="Caption"/>
        <w:spacing w:after="120"/>
        <w:rPr>
          <w:rFonts w:eastAsiaTheme="minorEastAsia"/>
        </w:rPr>
      </w:pPr>
      <w:r w:rsidRPr="004E73BC">
        <w:rPr>
          <w:rFonts w:eastAsiaTheme="minorEastAsia"/>
          <w:position w:val="-12"/>
        </w:rPr>
        <w:object w:dxaOrig="2079" w:dyaOrig="360">
          <v:shape id="_x0000_i1037" type="#_x0000_t75" style="width:104.25pt;height:18pt" o:ole="">
            <v:imagedata r:id="rId35" o:title=""/>
          </v:shape>
          <o:OLEObject Type="Embed" ProgID="Equation.DSMT4" ShapeID="_x0000_i1037" DrawAspect="Content" ObjectID="_1366547020" r:id="rId36"/>
        </w:object>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Pr>
          <w:rFonts w:eastAsiaTheme="minorEastAsia"/>
        </w:rPr>
        <w:tab/>
      </w:r>
      <w:r w:rsidR="00831644" w:rsidRPr="00831644">
        <w:rPr>
          <w:rFonts w:eastAsiaTheme="minorEastAsia"/>
          <w:b w:val="0"/>
          <w:color w:val="auto"/>
          <w:sz w:val="22"/>
          <w:szCs w:val="22"/>
        </w:rPr>
        <w:t>[</w:t>
      </w:r>
      <w:r w:rsidR="00831644" w:rsidRPr="00831644">
        <w:rPr>
          <w:rFonts w:eastAsiaTheme="minorEastAsia"/>
          <w:b w:val="0"/>
          <w:color w:val="auto"/>
          <w:sz w:val="22"/>
          <w:szCs w:val="22"/>
        </w:rPr>
        <w:fldChar w:fldCharType="begin"/>
      </w:r>
      <w:r w:rsidR="00831644" w:rsidRPr="00831644">
        <w:rPr>
          <w:rFonts w:eastAsiaTheme="minorEastAsia"/>
          <w:b w:val="0"/>
          <w:color w:val="auto"/>
          <w:sz w:val="22"/>
          <w:szCs w:val="22"/>
        </w:rPr>
        <w:instrText xml:space="preserve"> SEQ Equation \* ARABIC </w:instrText>
      </w:r>
      <w:r w:rsidR="00831644" w:rsidRPr="00831644">
        <w:rPr>
          <w:rFonts w:eastAsiaTheme="minorEastAsia"/>
          <w:b w:val="0"/>
          <w:color w:val="auto"/>
          <w:sz w:val="22"/>
          <w:szCs w:val="22"/>
        </w:rPr>
        <w:fldChar w:fldCharType="separate"/>
      </w:r>
      <w:r w:rsidR="00DD0A90">
        <w:rPr>
          <w:rFonts w:eastAsiaTheme="minorEastAsia"/>
          <w:b w:val="0"/>
          <w:noProof/>
          <w:color w:val="auto"/>
          <w:sz w:val="22"/>
          <w:szCs w:val="22"/>
        </w:rPr>
        <w:t>13</w:t>
      </w:r>
      <w:r w:rsidR="00831644" w:rsidRPr="00831644">
        <w:rPr>
          <w:rFonts w:eastAsiaTheme="minorEastAsia"/>
          <w:b w:val="0"/>
          <w:color w:val="auto"/>
          <w:sz w:val="22"/>
          <w:szCs w:val="22"/>
        </w:rPr>
        <w:fldChar w:fldCharType="end"/>
      </w:r>
      <w:r w:rsidR="002B30D1" w:rsidRPr="00831644">
        <w:rPr>
          <w:rFonts w:eastAsiaTheme="minorEastAsia"/>
          <w:b w:val="0"/>
          <w:color w:val="auto"/>
          <w:sz w:val="22"/>
          <w:szCs w:val="22"/>
        </w:rPr>
        <w:t>]</w:t>
      </w:r>
      <w:bookmarkEnd w:id="32"/>
    </w:p>
    <w:p w:rsidR="002B30D1" w:rsidRDefault="002B30D1" w:rsidP="00BF5A3C">
      <w:pPr>
        <w:spacing w:after="0"/>
        <w:jc w:val="both"/>
        <w:rPr>
          <w:rFonts w:eastAsiaTheme="minorEastAsia"/>
        </w:rPr>
      </w:pPr>
      <w:r>
        <w:rPr>
          <w:rFonts w:eastAsiaTheme="minorEastAsia"/>
          <w:i/>
        </w:rPr>
        <w:t>Stops</w:t>
      </w:r>
      <w:r>
        <w:rPr>
          <w:rFonts w:eastAsiaTheme="minorEastAsia"/>
        </w:rPr>
        <w:t xml:space="preserve"> is truck stops per week</w:t>
      </w:r>
    </w:p>
    <w:p w:rsidR="002B30D1" w:rsidRPr="002B30D1" w:rsidRDefault="002B30D1" w:rsidP="00BF5A3C">
      <w:pPr>
        <w:spacing w:after="0"/>
        <w:jc w:val="both"/>
        <w:rPr>
          <w:rFonts w:eastAsiaTheme="minorEastAsia"/>
          <w:b/>
        </w:rPr>
      </w:pPr>
      <w:r>
        <w:rPr>
          <w:rFonts w:eastAsiaTheme="minorEastAsia"/>
          <w:i/>
        </w:rPr>
        <w:t>B</w:t>
      </w:r>
      <w:r w:rsidR="004E73BC">
        <w:rPr>
          <w:rFonts w:eastAsiaTheme="minorEastAsia"/>
          <w:i/>
          <w:vertAlign w:val="subscript"/>
        </w:rPr>
        <w:t>R</w:t>
      </w:r>
      <w:r>
        <w:rPr>
          <w:rFonts w:eastAsiaTheme="minorEastAsia"/>
        </w:rPr>
        <w:t xml:space="preserve"> is number of residential buildings in the project area</w:t>
      </w:r>
    </w:p>
    <w:p w:rsidR="002B30D1" w:rsidRPr="002B30D1" w:rsidRDefault="002B30D1" w:rsidP="00BF5A3C">
      <w:pPr>
        <w:spacing w:after="0"/>
        <w:jc w:val="both"/>
        <w:rPr>
          <w:rFonts w:eastAsiaTheme="minorEastAsia"/>
        </w:rPr>
      </w:pPr>
      <w:r>
        <w:rPr>
          <w:rFonts w:eastAsiaTheme="minorEastAsia"/>
          <w:i/>
        </w:rPr>
        <w:t>C</w:t>
      </w:r>
      <w:r>
        <w:rPr>
          <w:rFonts w:eastAsiaTheme="minorEastAsia"/>
        </w:rPr>
        <w:t xml:space="preserve"> is number of businesses in the project area</w:t>
      </w:r>
    </w:p>
    <w:p w:rsidR="00B937C1" w:rsidRDefault="007B4B3B" w:rsidP="007E2454">
      <w:pPr>
        <w:pStyle w:val="Heading1"/>
        <w:spacing w:before="360"/>
        <w:jc w:val="both"/>
      </w:pPr>
      <w:bookmarkStart w:id="33" w:name="_Toc292629345"/>
      <w:r>
        <w:t xml:space="preserve">5.0 </w:t>
      </w:r>
      <w:r w:rsidR="00B937C1">
        <w:t>Results and Discussion:</w:t>
      </w:r>
      <w:bookmarkEnd w:id="33"/>
    </w:p>
    <w:p w:rsidR="006B4A7C" w:rsidRDefault="007B4B3B" w:rsidP="001234D7">
      <w:pPr>
        <w:pStyle w:val="Heading2"/>
        <w:spacing w:after="240"/>
      </w:pPr>
      <w:bookmarkStart w:id="34" w:name="_Toc292629346"/>
      <w:r>
        <w:t xml:space="preserve">5.1 </w:t>
      </w:r>
      <w:r w:rsidR="006B4A7C">
        <w:t>Existing Conditions</w:t>
      </w:r>
      <w:bookmarkEnd w:id="34"/>
    </w:p>
    <w:p w:rsidR="00AB06BA" w:rsidRPr="0001715A" w:rsidRDefault="007B4B3B" w:rsidP="001234D7">
      <w:pPr>
        <w:spacing w:after="0"/>
        <w:jc w:val="both"/>
        <w:rPr>
          <w:sz w:val="28"/>
          <w:szCs w:val="28"/>
        </w:rPr>
      </w:pPr>
      <w:r>
        <w:rPr>
          <w:sz w:val="28"/>
          <w:szCs w:val="28"/>
        </w:rPr>
        <w:t xml:space="preserve">5.1.1 </w:t>
      </w:r>
      <w:r w:rsidR="00AB06BA" w:rsidRPr="0001715A">
        <w:rPr>
          <w:sz w:val="28"/>
          <w:szCs w:val="28"/>
        </w:rPr>
        <w:t>Residential</w:t>
      </w:r>
    </w:p>
    <w:p w:rsidR="006A0F06" w:rsidRDefault="006A0F06" w:rsidP="006A0F06">
      <w:pPr>
        <w:jc w:val="both"/>
      </w:pPr>
      <w:r>
        <w:t>The project area under existing conditions comprises, in part, eight residential blocks. Seven of those blocks are of uniform height and building type and one, the block between 139</w:t>
      </w:r>
      <w:r w:rsidRPr="0069635C">
        <w:rPr>
          <w:vertAlign w:val="superscript"/>
        </w:rPr>
        <w:t>th</w:t>
      </w:r>
      <w:r>
        <w:t xml:space="preserve"> and 140</w:t>
      </w:r>
      <w:r w:rsidRPr="0069635C">
        <w:rPr>
          <w:vertAlign w:val="superscript"/>
        </w:rPr>
        <w:t>th</w:t>
      </w:r>
      <w:r>
        <w:t xml:space="preserve"> streets and between Riverside Avenue and Broadway</w:t>
      </w:r>
      <w:r w:rsidR="0036691A">
        <w:t xml:space="preserve"> (see Figure 1)</w:t>
      </w:r>
      <w:r>
        <w:t>, includes a tall, high density residential building. Information regarding residential units per building at NYCityMap (</w:t>
      </w:r>
      <w:r w:rsidR="00797E82">
        <w:t>The City of New York</w:t>
      </w:r>
      <w:r>
        <w:t xml:space="preserve">, 2011) is used to estimate the number of residential units in the study area with the following </w:t>
      </w:r>
      <w:r w:rsidR="00797E82">
        <w:t>adjustment of equation 1</w:t>
      </w:r>
      <w:r>
        <w:t>:</w:t>
      </w:r>
    </w:p>
    <w:p w:rsidR="006A0F06" w:rsidRDefault="00797E82" w:rsidP="001234D7">
      <w:pPr>
        <w:spacing w:after="120"/>
        <w:jc w:val="both"/>
      </w:pPr>
      <w:r w:rsidRPr="00143226">
        <w:rPr>
          <w:position w:val="-12"/>
        </w:rPr>
        <w:object w:dxaOrig="3120" w:dyaOrig="360">
          <v:shape id="_x0000_i1038" type="#_x0000_t75" style="width:156pt;height:18pt" o:ole="">
            <v:imagedata r:id="rId37" o:title=""/>
          </v:shape>
          <o:OLEObject Type="Embed" ProgID="Equation.DSMT4" ShapeID="_x0000_i1038" DrawAspect="Content" ObjectID="_1366547021" r:id="rId38"/>
        </w:object>
      </w:r>
      <w:r>
        <w:tab/>
      </w:r>
      <w:r>
        <w:tab/>
      </w:r>
      <w:r>
        <w:tab/>
      </w:r>
      <w:r>
        <w:tab/>
      </w:r>
      <w:r>
        <w:tab/>
      </w:r>
      <w:r>
        <w:tab/>
      </w:r>
      <w:r>
        <w:tab/>
      </w:r>
      <w:r w:rsidR="006A0F06">
        <w:tab/>
        <w:t>[1</w:t>
      </w:r>
      <w:r>
        <w:t>a</w:t>
      </w:r>
      <w:r w:rsidR="006A0F06">
        <w:t>]</w:t>
      </w:r>
    </w:p>
    <w:p w:rsidR="006A0F06" w:rsidRDefault="006A0F06" w:rsidP="006A0F06">
      <w:pPr>
        <w:spacing w:after="0"/>
        <w:jc w:val="both"/>
      </w:pPr>
      <w:r w:rsidRPr="00910717">
        <w:rPr>
          <w:i/>
        </w:rPr>
        <w:t>U</w:t>
      </w:r>
      <w:r w:rsidR="00797E82">
        <w:rPr>
          <w:i/>
          <w:vertAlign w:val="subscript"/>
        </w:rPr>
        <w:t>S</w:t>
      </w:r>
      <w:r>
        <w:t xml:space="preserve"> is number of units in standard sample block</w:t>
      </w:r>
    </w:p>
    <w:p w:rsidR="006A0F06" w:rsidRDefault="006A0F06" w:rsidP="006A0F06">
      <w:pPr>
        <w:spacing w:after="0"/>
        <w:jc w:val="both"/>
      </w:pPr>
      <w:r w:rsidRPr="00910717">
        <w:rPr>
          <w:i/>
        </w:rPr>
        <w:t>U</w:t>
      </w:r>
      <w:r w:rsidRPr="00910717">
        <w:rPr>
          <w:i/>
          <w:vertAlign w:val="subscript"/>
        </w:rPr>
        <w:t>hd</w:t>
      </w:r>
      <w:r>
        <w:t xml:space="preserve"> is number of units in high density sample block</w:t>
      </w:r>
    </w:p>
    <w:p w:rsidR="00797E82" w:rsidRDefault="00797E82" w:rsidP="00797E82">
      <w:pPr>
        <w:spacing w:before="200"/>
        <w:jc w:val="both"/>
      </w:pPr>
      <w:r>
        <w:t>The high density block had 920 units</w:t>
      </w:r>
      <w:r w:rsidR="0036691A">
        <w:t xml:space="preserve"> according to city data</w:t>
      </w:r>
      <w:r>
        <w:t>, while the standard sample block between Broadway and Riverside Drive and 135</w:t>
      </w:r>
      <w:r w:rsidRPr="00797E82">
        <w:rPr>
          <w:vertAlign w:val="superscript"/>
        </w:rPr>
        <w:t>th</w:t>
      </w:r>
      <w:r>
        <w:t xml:space="preserve"> and 136</w:t>
      </w:r>
      <w:r w:rsidRPr="00797E82">
        <w:rPr>
          <w:vertAlign w:val="superscript"/>
        </w:rPr>
        <w:t>th</w:t>
      </w:r>
      <w:r>
        <w:t xml:space="preserve"> Streets had 464 units.</w:t>
      </w:r>
      <w:r w:rsidR="009D3D54">
        <w:t xml:space="preserve"> The standard sample block was chosen because it appeared to be closest to the mean length of the seven city blocks of similar density.</w:t>
      </w:r>
      <w:r>
        <w:t xml:space="preserve"> Table 1 gives a rate for MSW generation per residential unit as 41 pounds per unit per week.</w:t>
      </w:r>
    </w:p>
    <w:p w:rsidR="00B937C1" w:rsidRDefault="00B937C1" w:rsidP="00052577">
      <w:pPr>
        <w:jc w:val="both"/>
      </w:pPr>
      <w:r>
        <w:t>Residential MSW impact for existing conditions from Eqn</w:t>
      </w:r>
      <w:r w:rsidR="002F626E">
        <w:t>s</w:t>
      </w:r>
      <w:r>
        <w:t>. 1</w:t>
      </w:r>
      <w:r w:rsidR="00797E82">
        <w:t>a</w:t>
      </w:r>
      <w:r w:rsidR="002F626E">
        <w:t xml:space="preserve"> and 2</w:t>
      </w:r>
      <w:r>
        <w:t>:</w:t>
      </w:r>
    </w:p>
    <w:p w:rsidR="002F626E" w:rsidRDefault="00CD32DE" w:rsidP="001234D7">
      <w:pPr>
        <w:spacing w:after="120"/>
      </w:pPr>
      <w:r w:rsidRPr="00CD32DE">
        <w:rPr>
          <w:position w:val="-16"/>
        </w:rPr>
        <w:object w:dxaOrig="5060" w:dyaOrig="400">
          <v:shape id="_x0000_i1039" type="#_x0000_t75" style="width:252.75pt;height:20.25pt" o:ole="">
            <v:imagedata r:id="rId39" o:title=""/>
          </v:shape>
          <o:OLEObject Type="Embed" ProgID="Equation.DSMT4" ShapeID="_x0000_i1039" DrawAspect="Content" ObjectID="_1366547022" r:id="rId40"/>
        </w:object>
      </w:r>
      <w:r w:rsidR="002F626E">
        <w:tab/>
      </w:r>
      <w:r w:rsidR="002F626E">
        <w:tab/>
      </w:r>
      <w:r w:rsidR="002F626E">
        <w:tab/>
      </w:r>
      <w:r w:rsidR="002F626E">
        <w:tab/>
      </w:r>
      <w:r w:rsidR="002F626E">
        <w:tab/>
        <w:t>[1</w:t>
      </w:r>
      <w:r w:rsidR="00582923">
        <w:t>a</w:t>
      </w:r>
      <w:r w:rsidR="002F626E">
        <w:t>]</w:t>
      </w:r>
    </w:p>
    <w:p w:rsidR="002F626E" w:rsidRDefault="00B906C5" w:rsidP="001234D7">
      <w:pPr>
        <w:spacing w:after="120"/>
      </w:pPr>
      <w:r w:rsidRPr="00B906C5">
        <w:rPr>
          <w:position w:val="-24"/>
        </w:rPr>
        <w:object w:dxaOrig="4120" w:dyaOrig="620">
          <v:shape id="_x0000_i1040" type="#_x0000_t75" style="width:206.25pt;height:30.75pt" o:ole="">
            <v:imagedata r:id="rId41" o:title=""/>
          </v:shape>
          <o:OLEObject Type="Embed" ProgID="Equation.DSMT4" ShapeID="_x0000_i1040" DrawAspect="Content" ObjectID="_1366547023" r:id="rId42"/>
        </w:object>
      </w:r>
      <w:r w:rsidR="002F626E">
        <w:tab/>
      </w:r>
      <w:r w:rsidR="002F626E">
        <w:tab/>
      </w:r>
      <w:r w:rsidR="002F626E">
        <w:tab/>
      </w:r>
      <w:r w:rsidR="002F626E">
        <w:tab/>
      </w:r>
      <w:r w:rsidR="002F626E">
        <w:tab/>
      </w:r>
      <w:r w:rsidR="002F626E">
        <w:tab/>
      </w:r>
      <w:r w:rsidR="002F626E">
        <w:tab/>
        <w:t>[2]</w:t>
      </w:r>
      <w:r w:rsidR="002F626E">
        <w:tab/>
      </w:r>
    </w:p>
    <w:p w:rsidR="006A0F06" w:rsidRDefault="00BD585A" w:rsidP="009C2241">
      <w:pPr>
        <w:jc w:val="both"/>
      </w:pPr>
      <w:r>
        <w:t xml:space="preserve">Estimated existing residential MSW generation of 85.4 T/wk, or about 10 tons per week per city block is reasonable as it is based on the method outlined in CEQR. </w:t>
      </w:r>
      <w:r w:rsidR="00F533E2">
        <w:t>The same</w:t>
      </w:r>
      <w:r>
        <w:t xml:space="preserve"> method was used to estimate project impact for the Manhattanville redevelopment FEIS and is therefore considered sound </w:t>
      </w:r>
      <w:r w:rsidR="00F533E2">
        <w:t>(</w:t>
      </w:r>
      <w:r w:rsidR="00F533E2" w:rsidRPr="00F533E2">
        <w:rPr>
          <w:rFonts w:cstheme="minorBidi"/>
        </w:rPr>
        <w:t>AKRF, Inc.</w:t>
      </w:r>
      <w:r w:rsidR="00F533E2">
        <w:rPr>
          <w:rFonts w:cstheme="minorBidi"/>
        </w:rPr>
        <w:t>,</w:t>
      </w:r>
      <w:r w:rsidR="00F533E2" w:rsidRPr="00F533E2">
        <w:rPr>
          <w:rFonts w:cstheme="minorBidi"/>
        </w:rPr>
        <w:t xml:space="preserve"> 2007).</w:t>
      </w:r>
      <w:r w:rsidR="00F533E2">
        <w:rPr>
          <w:rFonts w:cstheme="minorBidi"/>
        </w:rPr>
        <w:t xml:space="preserve"> Possible sources of error include the estimation of total residential units </w:t>
      </w:r>
      <w:r w:rsidR="00C0041F">
        <w:rPr>
          <w:rFonts w:cstheme="minorBidi"/>
        </w:rPr>
        <w:t xml:space="preserve">in eight city blocks </w:t>
      </w:r>
      <w:r w:rsidR="00F533E2">
        <w:rPr>
          <w:rFonts w:cstheme="minorBidi"/>
        </w:rPr>
        <w:t>from the two block sample, and the error inherent in the estimate of MSW generation per unit from Table 1.</w:t>
      </w:r>
    </w:p>
    <w:p w:rsidR="001234D7" w:rsidRDefault="001234D7" w:rsidP="0001715A">
      <w:pPr>
        <w:rPr>
          <w:sz w:val="28"/>
          <w:szCs w:val="28"/>
        </w:rPr>
      </w:pPr>
    </w:p>
    <w:p w:rsidR="00AB06BA" w:rsidRPr="0001715A" w:rsidRDefault="007B4B3B" w:rsidP="001234D7">
      <w:pPr>
        <w:spacing w:after="0"/>
        <w:rPr>
          <w:sz w:val="28"/>
          <w:szCs w:val="28"/>
        </w:rPr>
      </w:pPr>
      <w:r>
        <w:rPr>
          <w:sz w:val="28"/>
          <w:szCs w:val="28"/>
        </w:rPr>
        <w:t xml:space="preserve">5.1.2 </w:t>
      </w:r>
      <w:r w:rsidR="00AB06BA" w:rsidRPr="0001715A">
        <w:rPr>
          <w:sz w:val="28"/>
          <w:szCs w:val="28"/>
        </w:rPr>
        <w:t>Commercial</w:t>
      </w:r>
    </w:p>
    <w:p w:rsidR="00AB06BA" w:rsidRDefault="00AB06BA" w:rsidP="00AB06BA">
      <w:pPr>
        <w:jc w:val="both"/>
      </w:pPr>
      <w:r>
        <w:lastRenderedPageBreak/>
        <w:t xml:space="preserve">Commercial </w:t>
      </w:r>
      <w:r w:rsidR="00A82D74">
        <w:t>S</w:t>
      </w:r>
      <w:r>
        <w:t xml:space="preserve">olid </w:t>
      </w:r>
      <w:r w:rsidR="00A82D74">
        <w:t>W</w:t>
      </w:r>
      <w:r>
        <w:t>aste</w:t>
      </w:r>
      <w:r w:rsidR="00A82D74">
        <w:t xml:space="preserve"> (CSW)</w:t>
      </w:r>
      <w:r>
        <w:t xml:space="preserve"> generat</w:t>
      </w:r>
      <w:r w:rsidR="00A82D74">
        <w:t>ed</w:t>
      </w:r>
      <w:r>
        <w:t xml:space="preserve"> </w:t>
      </w:r>
      <w:r w:rsidR="00A82D74">
        <w:t>by</w:t>
      </w:r>
      <w:r>
        <w:t xml:space="preserve"> the existing businesses </w:t>
      </w:r>
      <w:r w:rsidR="00A82D74">
        <w:t>in the</w:t>
      </w:r>
      <w:r>
        <w:t xml:space="preserve"> project area </w:t>
      </w:r>
      <w:r w:rsidR="00A82D74">
        <w:t>is</w:t>
      </w:r>
      <w:r>
        <w:t xml:space="preserve"> calculated using the data collected </w:t>
      </w:r>
      <w:r w:rsidR="00A82D74">
        <w:t>in a door to door survey of</w:t>
      </w:r>
      <w:r>
        <w:t xml:space="preserve"> businesses operating in the area. </w:t>
      </w:r>
      <w:r w:rsidR="00A82D74">
        <w:t>Business managers</w:t>
      </w:r>
      <w:r>
        <w:t xml:space="preserve"> were </w:t>
      </w:r>
      <w:r w:rsidR="00A82D74">
        <w:t>asked</w:t>
      </w:r>
      <w:r>
        <w:t xml:space="preserve"> the number of employees.</w:t>
      </w:r>
      <w:r w:rsidR="00A82D74">
        <w:t xml:space="preserve"> The type of business was also recorded for categorization according to Table 1.</w:t>
      </w:r>
      <w:r>
        <w:t xml:space="preserve"> </w:t>
      </w:r>
      <w:r w:rsidR="00A82D74">
        <w:t>The survey</w:t>
      </w:r>
      <w:r>
        <w:t xml:space="preserve"> was very </w:t>
      </w:r>
      <w:r w:rsidR="00A82D74">
        <w:t xml:space="preserve">successful and </w:t>
      </w:r>
      <w:r>
        <w:t>useful in determi</w:t>
      </w:r>
      <w:r w:rsidR="00A82D74">
        <w:t>ning the solid waste generation. However,</w:t>
      </w:r>
      <w:r>
        <w:t xml:space="preserve"> there were </w:t>
      </w:r>
      <w:r w:rsidR="00582923">
        <w:t>some</w:t>
      </w:r>
      <w:r>
        <w:t xml:space="preserve"> stores that we</w:t>
      </w:r>
      <w:r w:rsidR="00582923">
        <w:t>re</w:t>
      </w:r>
      <w:r>
        <w:t xml:space="preserve"> </w:t>
      </w:r>
      <w:r w:rsidR="00582923">
        <w:t>closed</w:t>
      </w:r>
      <w:r>
        <w:t>, employees at some</w:t>
      </w:r>
      <w:r w:rsidR="00582923">
        <w:t xml:space="preserve"> stores could not speak English</w:t>
      </w:r>
      <w:r>
        <w:t xml:space="preserve"> while </w:t>
      </w:r>
      <w:r w:rsidR="00A82D74">
        <w:t>some</w:t>
      </w:r>
      <w:r>
        <w:t xml:space="preserve"> others considered </w:t>
      </w:r>
      <w:r w:rsidR="002B3CC3">
        <w:t>the</w:t>
      </w:r>
      <w:r>
        <w:t xml:space="preserve"> information </w:t>
      </w:r>
      <w:r w:rsidR="002B3CC3">
        <w:t xml:space="preserve">requested </w:t>
      </w:r>
      <w:r>
        <w:t>confidential.</w:t>
      </w:r>
      <w:r w:rsidR="00582923">
        <w:t xml:space="preserve"> Where no information was available the surveyor estimated the total number of employees by comparison with other businesses surveyed.</w:t>
      </w:r>
      <w:r>
        <w:t xml:space="preserve"> The data collected from the survey </w:t>
      </w:r>
      <w:r w:rsidR="002B3CC3">
        <w:t xml:space="preserve">estimates </w:t>
      </w:r>
      <w:r>
        <w:t>the</w:t>
      </w:r>
      <w:r w:rsidR="002B3CC3">
        <w:t xml:space="preserve"> commercial activity and, through analysis, the estimated</w:t>
      </w:r>
      <w:r>
        <w:t xml:space="preserve"> solid waste generation from </w:t>
      </w:r>
      <w:r w:rsidR="004920CD">
        <w:t>the</w:t>
      </w:r>
      <w:r>
        <w:t xml:space="preserve"> project area quite accurately within those parameters</w:t>
      </w:r>
      <w:r w:rsidR="00ED5D9F">
        <w:t xml:space="preserve"> and the error inherent in the Table 1 CSW rates</w:t>
      </w:r>
      <w:r>
        <w:t xml:space="preserve">. </w:t>
      </w:r>
    </w:p>
    <w:p w:rsidR="0019028F" w:rsidRDefault="00D13DB3" w:rsidP="00582923">
      <w:pPr>
        <w:jc w:val="both"/>
      </w:pPr>
      <w:r>
        <w:t>Table 2 shows the results of the surve</w:t>
      </w:r>
      <w:r w:rsidR="00AB06BA">
        <w:t>y conducted to co</w:t>
      </w:r>
      <w:r>
        <w:t xml:space="preserve">llect the number of businesses </w:t>
      </w:r>
      <w:r w:rsidR="00AB06BA">
        <w:t>in the</w:t>
      </w:r>
      <w:r>
        <w:t xml:space="preserve"> project</w:t>
      </w:r>
      <w:r w:rsidR="00AB06BA">
        <w:t xml:space="preserve"> </w:t>
      </w:r>
      <w:r>
        <w:t xml:space="preserve">area, the type of business each is </w:t>
      </w:r>
      <w:r w:rsidR="00AB06BA">
        <w:t xml:space="preserve">in, and the number of employees </w:t>
      </w:r>
      <w:r>
        <w:t>at each</w:t>
      </w:r>
      <w:r w:rsidR="00AB06BA">
        <w:t xml:space="preserve"> business. </w:t>
      </w:r>
      <w:r>
        <w:t>Each business was</w:t>
      </w:r>
      <w:r w:rsidR="00AB06BA">
        <w:t xml:space="preserve"> classified </w:t>
      </w:r>
      <w:r>
        <w:t>according to the</w:t>
      </w:r>
      <w:r w:rsidR="00AB06BA">
        <w:t xml:space="preserve"> cat</w:t>
      </w:r>
      <w:r>
        <w:t>e</w:t>
      </w:r>
      <w:r w:rsidR="00AB06BA">
        <w:t xml:space="preserve">gories found in table </w:t>
      </w:r>
      <w:r>
        <w:t>1.</w:t>
      </w:r>
      <w:r w:rsidR="00E97E8E">
        <w:t xml:space="preserve"> Further details available in Appendix A.</w:t>
      </w:r>
    </w:p>
    <w:p w:rsidR="00AB06BA" w:rsidRPr="007D6C29" w:rsidRDefault="007D6C29" w:rsidP="007D6C29">
      <w:pPr>
        <w:pStyle w:val="Caption"/>
        <w:rPr>
          <w:b w:val="0"/>
          <w:color w:val="auto"/>
          <w:sz w:val="22"/>
          <w:szCs w:val="22"/>
        </w:rPr>
      </w:pPr>
      <w:bookmarkStart w:id="35" w:name="_Toc292580397"/>
      <w:r w:rsidRPr="007D6C29">
        <w:rPr>
          <w:b w:val="0"/>
          <w:color w:val="auto"/>
          <w:sz w:val="22"/>
          <w:szCs w:val="22"/>
        </w:rPr>
        <w:t xml:space="preserve">Table </w:t>
      </w:r>
      <w:r w:rsidRPr="007D6C29">
        <w:rPr>
          <w:b w:val="0"/>
          <w:color w:val="auto"/>
          <w:sz w:val="22"/>
          <w:szCs w:val="22"/>
        </w:rPr>
        <w:fldChar w:fldCharType="begin"/>
      </w:r>
      <w:r w:rsidRPr="007D6C29">
        <w:rPr>
          <w:b w:val="0"/>
          <w:color w:val="auto"/>
          <w:sz w:val="22"/>
          <w:szCs w:val="22"/>
        </w:rPr>
        <w:instrText xml:space="preserve"> SEQ Table \* ARABIC </w:instrText>
      </w:r>
      <w:r w:rsidRPr="007D6C29">
        <w:rPr>
          <w:b w:val="0"/>
          <w:color w:val="auto"/>
          <w:sz w:val="22"/>
          <w:szCs w:val="22"/>
        </w:rPr>
        <w:fldChar w:fldCharType="separate"/>
      </w:r>
      <w:r w:rsidR="00DD0A90">
        <w:rPr>
          <w:b w:val="0"/>
          <w:noProof/>
          <w:color w:val="auto"/>
          <w:sz w:val="22"/>
          <w:szCs w:val="22"/>
        </w:rPr>
        <w:t>2</w:t>
      </w:r>
      <w:r w:rsidRPr="007D6C29">
        <w:rPr>
          <w:b w:val="0"/>
          <w:color w:val="auto"/>
          <w:sz w:val="22"/>
          <w:szCs w:val="22"/>
        </w:rPr>
        <w:fldChar w:fldCharType="end"/>
      </w:r>
      <w:r w:rsidRPr="007D6C29">
        <w:rPr>
          <w:b w:val="0"/>
          <w:color w:val="auto"/>
          <w:sz w:val="22"/>
          <w:szCs w:val="22"/>
        </w:rPr>
        <w:t>: Business Survey Data for project area</w:t>
      </w:r>
      <w:bookmarkEnd w:id="35"/>
    </w:p>
    <w:tbl>
      <w:tblPr>
        <w:tblW w:w="7478" w:type="dxa"/>
        <w:jc w:val="center"/>
        <w:tblLook w:val="0000" w:firstRow="0" w:lastRow="0" w:firstColumn="0" w:lastColumn="0" w:noHBand="0" w:noVBand="0"/>
      </w:tblPr>
      <w:tblGrid>
        <w:gridCol w:w="353"/>
        <w:gridCol w:w="1676"/>
        <w:gridCol w:w="1170"/>
        <w:gridCol w:w="1350"/>
        <w:gridCol w:w="1440"/>
        <w:gridCol w:w="1136"/>
        <w:gridCol w:w="353"/>
      </w:tblGrid>
      <w:tr w:rsidR="00AB06BA" w:rsidRPr="005B3744" w:rsidTr="00D13DB3">
        <w:trPr>
          <w:trHeight w:hRule="exact" w:val="288"/>
          <w:jc w:val="center"/>
        </w:trPr>
        <w:tc>
          <w:tcPr>
            <w:tcW w:w="353" w:type="dxa"/>
            <w:tcBorders>
              <w:top w:val="single" w:sz="4" w:space="0" w:color="auto"/>
              <w:left w:val="single" w:sz="4" w:space="0" w:color="auto"/>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676" w:type="dxa"/>
            <w:tcBorders>
              <w:top w:val="single" w:sz="4" w:space="0" w:color="auto"/>
              <w:left w:val="nil"/>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170" w:type="dxa"/>
            <w:tcBorders>
              <w:top w:val="single" w:sz="4" w:space="0" w:color="auto"/>
              <w:left w:val="nil"/>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350" w:type="dxa"/>
            <w:tcBorders>
              <w:top w:val="single" w:sz="4" w:space="0" w:color="auto"/>
              <w:left w:val="nil"/>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440" w:type="dxa"/>
            <w:tcBorders>
              <w:top w:val="single" w:sz="4" w:space="0" w:color="auto"/>
              <w:left w:val="nil"/>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136" w:type="dxa"/>
            <w:tcBorders>
              <w:top w:val="single" w:sz="4" w:space="0" w:color="auto"/>
              <w:left w:val="nil"/>
              <w:bottom w:val="nil"/>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353" w:type="dxa"/>
            <w:tcBorders>
              <w:top w:val="single" w:sz="4" w:space="0" w:color="auto"/>
              <w:left w:val="nil"/>
              <w:bottom w:val="nil"/>
              <w:right w:val="single" w:sz="4" w:space="0" w:color="auto"/>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USE</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2B3CC3" w:rsidRPr="00752381" w:rsidRDefault="002B3CC3" w:rsidP="00F15258">
            <w:pPr>
              <w:rPr>
                <w:sz w:val="16"/>
                <w:szCs w:val="20"/>
              </w:rPr>
            </w:pPr>
            <w:r w:rsidRPr="00752381">
              <w:rPr>
                <w:sz w:val="16"/>
                <w:szCs w:val="20"/>
              </w:rPr>
              <w:t>Businesses</w:t>
            </w:r>
          </w:p>
          <w:p w:rsidR="00AB06BA" w:rsidRPr="00752381" w:rsidRDefault="00AB06BA" w:rsidP="00F15258">
            <w:pPr>
              <w:rPr>
                <w:sz w:val="16"/>
                <w:szCs w:val="20"/>
              </w:rPr>
            </w:pPr>
            <w:r w:rsidRPr="00752381">
              <w:rPr>
                <w:sz w:val="16"/>
                <w:szCs w:val="20"/>
              </w:rPr>
              <w:t xml:space="preserve"> Businesses</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Employees</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Rate</w:t>
            </w:r>
            <w:r w:rsidR="002B3CC3" w:rsidRPr="00752381">
              <w:rPr>
                <w:sz w:val="16"/>
                <w:szCs w:val="20"/>
              </w:rPr>
              <w:t xml:space="preserve"> (lbs/Emp)</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Total MSW</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SINGLE OFFICE</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22</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42</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9</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378</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D13DB3" w:rsidP="00F15258">
            <w:pPr>
              <w:rPr>
                <w:sz w:val="16"/>
                <w:szCs w:val="20"/>
              </w:rPr>
            </w:pPr>
            <w:r w:rsidRPr="00752381">
              <w:rPr>
                <w:sz w:val="16"/>
                <w:szCs w:val="20"/>
              </w:rPr>
              <w:t>OFFICE BLDG.</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14</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108</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13</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1404</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ELEM. SCHOOL</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571</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2284</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WHOLESALE</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66</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264</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GENERAL RETAIL</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46</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141</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79</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11139</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FOOD STORE</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25</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146</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284</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41464</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FAST FOOD</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7</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43</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200</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8600</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RESTAURANTS</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12</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53</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251</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13303</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Total</w:t>
            </w:r>
          </w:p>
        </w:tc>
        <w:tc>
          <w:tcPr>
            <w:tcW w:w="117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1108</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136"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78836</w:t>
            </w: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7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35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44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3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7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Total MSW generation</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13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7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78836</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lbs/wk</w:t>
            </w:r>
          </w:p>
        </w:tc>
        <w:tc>
          <w:tcPr>
            <w:tcW w:w="113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7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39.418</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2B3CC3" w:rsidP="002B3CC3">
            <w:pPr>
              <w:rPr>
                <w:sz w:val="16"/>
                <w:szCs w:val="20"/>
              </w:rPr>
            </w:pPr>
            <w:r w:rsidRPr="00752381">
              <w:rPr>
                <w:sz w:val="16"/>
                <w:szCs w:val="20"/>
              </w:rPr>
              <w:t>Tons/wk</w:t>
            </w:r>
          </w:p>
        </w:tc>
        <w:tc>
          <w:tcPr>
            <w:tcW w:w="113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752381" w:rsidTr="00D13DB3">
        <w:trPr>
          <w:trHeight w:hRule="exact" w:val="288"/>
          <w:jc w:val="center"/>
        </w:trPr>
        <w:tc>
          <w:tcPr>
            <w:tcW w:w="353" w:type="dxa"/>
            <w:tcBorders>
              <w:top w:val="nil"/>
              <w:left w:val="single" w:sz="4" w:space="0" w:color="auto"/>
              <w:bottom w:val="nil"/>
              <w:right w:val="nil"/>
            </w:tcBorders>
            <w:shd w:val="pct12" w:color="CCFFFF" w:fill="auto"/>
            <w:noWrap/>
            <w:vAlign w:val="bottom"/>
          </w:tcPr>
          <w:p w:rsidR="00AB06BA" w:rsidRPr="00752381" w:rsidRDefault="00AB06BA" w:rsidP="00F15258">
            <w:pPr>
              <w:rPr>
                <w:sz w:val="16"/>
                <w:szCs w:val="20"/>
              </w:rPr>
            </w:pPr>
            <w:r w:rsidRPr="00752381">
              <w:rPr>
                <w:sz w:val="16"/>
                <w:szCs w:val="20"/>
              </w:rPr>
              <w:t> </w:t>
            </w:r>
          </w:p>
        </w:tc>
        <w:tc>
          <w:tcPr>
            <w:tcW w:w="167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170"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135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AB06BA" w:rsidP="00F15258">
            <w:pPr>
              <w:jc w:val="right"/>
              <w:rPr>
                <w:sz w:val="16"/>
                <w:szCs w:val="20"/>
              </w:rPr>
            </w:pPr>
            <w:r w:rsidRPr="00752381">
              <w:rPr>
                <w:sz w:val="16"/>
                <w:szCs w:val="20"/>
              </w:rPr>
              <w:t>35.75940811</w:t>
            </w:r>
          </w:p>
        </w:tc>
        <w:tc>
          <w:tcPr>
            <w:tcW w:w="1440" w:type="dxa"/>
            <w:tcBorders>
              <w:top w:val="single" w:sz="4" w:space="0" w:color="auto"/>
              <w:left w:val="single" w:sz="4" w:space="0" w:color="auto"/>
              <w:bottom w:val="single" w:sz="4" w:space="0" w:color="auto"/>
              <w:right w:val="single" w:sz="4" w:space="0" w:color="auto"/>
            </w:tcBorders>
            <w:shd w:val="pct12" w:color="CCFFFF" w:fill="auto"/>
            <w:noWrap/>
            <w:vAlign w:val="bottom"/>
          </w:tcPr>
          <w:p w:rsidR="00AB06BA" w:rsidRPr="00752381" w:rsidRDefault="002B3CC3" w:rsidP="00F15258">
            <w:pPr>
              <w:rPr>
                <w:sz w:val="16"/>
                <w:szCs w:val="20"/>
              </w:rPr>
            </w:pPr>
            <w:r w:rsidRPr="00752381">
              <w:rPr>
                <w:sz w:val="16"/>
                <w:szCs w:val="20"/>
              </w:rPr>
              <w:t>MT/wk</w:t>
            </w:r>
          </w:p>
        </w:tc>
        <w:tc>
          <w:tcPr>
            <w:tcW w:w="1136" w:type="dxa"/>
            <w:tcBorders>
              <w:top w:val="nil"/>
              <w:left w:val="nil"/>
              <w:bottom w:val="nil"/>
              <w:right w:val="nil"/>
            </w:tcBorders>
            <w:shd w:val="pct12" w:color="CCFFFF" w:fill="auto"/>
            <w:noWrap/>
            <w:vAlign w:val="bottom"/>
          </w:tcPr>
          <w:p w:rsidR="00AB06BA" w:rsidRPr="00752381" w:rsidRDefault="00AB06BA" w:rsidP="00F15258">
            <w:pPr>
              <w:rPr>
                <w:sz w:val="16"/>
                <w:szCs w:val="20"/>
              </w:rPr>
            </w:pPr>
          </w:p>
        </w:tc>
        <w:tc>
          <w:tcPr>
            <w:tcW w:w="353" w:type="dxa"/>
            <w:tcBorders>
              <w:top w:val="nil"/>
              <w:left w:val="nil"/>
              <w:bottom w:val="nil"/>
              <w:right w:val="single" w:sz="4" w:space="0" w:color="auto"/>
            </w:tcBorders>
            <w:shd w:val="pct12" w:color="CCFFFF" w:fill="auto"/>
            <w:noWrap/>
            <w:vAlign w:val="bottom"/>
          </w:tcPr>
          <w:p w:rsidR="00AB06BA" w:rsidRPr="00752381" w:rsidRDefault="00AB06BA" w:rsidP="00F15258">
            <w:pPr>
              <w:rPr>
                <w:sz w:val="16"/>
                <w:szCs w:val="20"/>
              </w:rPr>
            </w:pPr>
            <w:r w:rsidRPr="00752381">
              <w:rPr>
                <w:sz w:val="16"/>
                <w:szCs w:val="20"/>
              </w:rPr>
              <w:t> </w:t>
            </w:r>
          </w:p>
        </w:tc>
      </w:tr>
      <w:tr w:rsidR="00AB06BA" w:rsidRPr="005B3744" w:rsidTr="00D13DB3">
        <w:trPr>
          <w:trHeight w:hRule="exact" w:val="288"/>
          <w:jc w:val="center"/>
        </w:trPr>
        <w:tc>
          <w:tcPr>
            <w:tcW w:w="353" w:type="dxa"/>
            <w:tcBorders>
              <w:top w:val="nil"/>
              <w:left w:val="single" w:sz="4" w:space="0" w:color="auto"/>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676" w:type="dxa"/>
            <w:tcBorders>
              <w:top w:val="nil"/>
              <w:left w:val="nil"/>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170" w:type="dxa"/>
            <w:tcBorders>
              <w:top w:val="nil"/>
              <w:left w:val="nil"/>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350" w:type="dxa"/>
            <w:tcBorders>
              <w:top w:val="nil"/>
              <w:left w:val="nil"/>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440" w:type="dxa"/>
            <w:tcBorders>
              <w:top w:val="nil"/>
              <w:left w:val="nil"/>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1136" w:type="dxa"/>
            <w:tcBorders>
              <w:top w:val="nil"/>
              <w:left w:val="nil"/>
              <w:bottom w:val="single" w:sz="4" w:space="0" w:color="auto"/>
              <w:right w:val="nil"/>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c>
          <w:tcPr>
            <w:tcW w:w="353" w:type="dxa"/>
            <w:tcBorders>
              <w:top w:val="nil"/>
              <w:left w:val="nil"/>
              <w:bottom w:val="single" w:sz="4" w:space="0" w:color="auto"/>
              <w:right w:val="single" w:sz="4" w:space="0" w:color="auto"/>
            </w:tcBorders>
            <w:shd w:val="pct12" w:color="CCFFFF" w:fill="auto"/>
            <w:noWrap/>
            <w:vAlign w:val="bottom"/>
          </w:tcPr>
          <w:p w:rsidR="00AB06BA" w:rsidRPr="005B3744" w:rsidRDefault="00AB06BA" w:rsidP="00F15258">
            <w:pPr>
              <w:rPr>
                <w:rFonts w:ascii="Verdana" w:hAnsi="Verdana"/>
                <w:sz w:val="16"/>
                <w:szCs w:val="20"/>
              </w:rPr>
            </w:pPr>
            <w:r w:rsidRPr="005B3744">
              <w:rPr>
                <w:rFonts w:ascii="Verdana" w:hAnsi="Verdana"/>
                <w:sz w:val="16"/>
                <w:szCs w:val="20"/>
              </w:rPr>
              <w:t> </w:t>
            </w:r>
          </w:p>
        </w:tc>
      </w:tr>
    </w:tbl>
    <w:p w:rsidR="00D13DB3" w:rsidRDefault="00D13DB3" w:rsidP="00D13DB3">
      <w:pPr>
        <w:jc w:val="both"/>
      </w:pPr>
    </w:p>
    <w:p w:rsidR="00AB06BA" w:rsidRDefault="00AB06BA" w:rsidP="00D13DB3">
      <w:pPr>
        <w:jc w:val="both"/>
      </w:pPr>
      <w:r>
        <w:t xml:space="preserve">The above tabulated data </w:t>
      </w:r>
      <w:r w:rsidR="00D13DB3">
        <w:t>expresses the</w:t>
      </w:r>
      <w:r>
        <w:t xml:space="preserve"> analy</w:t>
      </w:r>
      <w:r w:rsidR="00D13DB3">
        <w:t>sis</w:t>
      </w:r>
      <w:r>
        <w:t xml:space="preserve"> </w:t>
      </w:r>
      <w:r w:rsidR="00D13DB3">
        <w:t>using equation 3, where the products of the number of employees in each category of business and the rate of CSW generated per employee are summed to give the total estimated CSW generated in the project area.</w:t>
      </w:r>
    </w:p>
    <w:p w:rsidR="00AB06BA" w:rsidRDefault="00AB06BA" w:rsidP="00D13DB3">
      <w:pPr>
        <w:jc w:val="both"/>
      </w:pPr>
      <w:r>
        <w:t>For example</w:t>
      </w:r>
      <w:r w:rsidR="00F3236C">
        <w:t>,</w:t>
      </w:r>
      <w:r>
        <w:t xml:space="preserve"> the total number of employees </w:t>
      </w:r>
      <w:r w:rsidR="00F3236C">
        <w:t>in</w:t>
      </w:r>
      <w:r>
        <w:t xml:space="preserve"> general retail</w:t>
      </w:r>
      <w:r w:rsidR="00F3236C">
        <w:t xml:space="preserve"> establishments in the project area</w:t>
      </w:r>
      <w:r>
        <w:t xml:space="preserve"> </w:t>
      </w:r>
      <w:r w:rsidR="00F3236C">
        <w:t>is 141</w:t>
      </w:r>
      <w:r>
        <w:t xml:space="preserve">. </w:t>
      </w:r>
      <w:r w:rsidR="00F3236C">
        <w:t>T</w:t>
      </w:r>
      <w:r>
        <w:t xml:space="preserve">he solid waste generation rate for general retail </w:t>
      </w:r>
      <w:r w:rsidR="00F3236C">
        <w:t>in Table 1 is 79 pounds per employee per week, yielding one component of the total estimated CSW:</w:t>
      </w:r>
    </w:p>
    <w:p w:rsidR="00AB06BA" w:rsidRDefault="00F3236C" w:rsidP="001234D7">
      <w:pPr>
        <w:spacing w:after="0"/>
        <w:ind w:firstLine="720"/>
        <w:jc w:val="both"/>
      </w:pPr>
      <w:r>
        <w:t>Category: g</w:t>
      </w:r>
      <w:r w:rsidR="00AB06BA">
        <w:t>eneral retail</w:t>
      </w:r>
    </w:p>
    <w:p w:rsidR="00AB06BA" w:rsidRDefault="00AB06BA" w:rsidP="001234D7">
      <w:pPr>
        <w:spacing w:after="0"/>
        <w:ind w:firstLine="720"/>
        <w:jc w:val="both"/>
      </w:pPr>
      <w:r>
        <w:t>Total Employees:  141</w:t>
      </w:r>
    </w:p>
    <w:p w:rsidR="00AB06BA" w:rsidRDefault="00AB06BA" w:rsidP="001234D7">
      <w:pPr>
        <w:spacing w:after="0"/>
        <w:ind w:firstLine="720"/>
        <w:jc w:val="both"/>
      </w:pPr>
      <w:r>
        <w:t>Rate of SWG: 79 lb per employee/week</w:t>
      </w:r>
    </w:p>
    <w:p w:rsidR="00AB06BA" w:rsidRDefault="00B77C0C" w:rsidP="001234D7">
      <w:pPr>
        <w:spacing w:before="120" w:after="120"/>
        <w:jc w:val="both"/>
        <w:rPr>
          <w:position w:val="-14"/>
        </w:rPr>
      </w:pPr>
      <w:r w:rsidRPr="00F3236C">
        <w:rPr>
          <w:position w:val="-18"/>
        </w:rPr>
        <w:object w:dxaOrig="4360" w:dyaOrig="480">
          <v:shape id="_x0000_i1041" type="#_x0000_t75" style="width:255pt;height:24.75pt" o:ole="">
            <v:imagedata r:id="rId43" o:title=""/>
          </v:shape>
          <o:OLEObject Type="Embed" ProgID="Equation.DSMT4" ShapeID="_x0000_i1041" DrawAspect="Content" ObjectID="_1366547024" r:id="rId44"/>
        </w:object>
      </w:r>
      <w:r w:rsidR="00F3236C">
        <w:rPr>
          <w:position w:val="-14"/>
        </w:rPr>
        <w:tab/>
      </w:r>
      <w:r w:rsidR="00F3236C">
        <w:rPr>
          <w:position w:val="-14"/>
        </w:rPr>
        <w:tab/>
      </w:r>
      <w:r w:rsidR="00F3236C">
        <w:rPr>
          <w:position w:val="-14"/>
        </w:rPr>
        <w:tab/>
      </w:r>
      <w:r w:rsidR="00F3236C">
        <w:rPr>
          <w:position w:val="-14"/>
        </w:rPr>
        <w:tab/>
      </w:r>
      <w:r w:rsidR="002058C9">
        <w:rPr>
          <w:position w:val="-14"/>
        </w:rPr>
        <w:tab/>
      </w:r>
      <w:r w:rsidR="00F3236C">
        <w:rPr>
          <w:position w:val="-14"/>
        </w:rPr>
        <w:t>[3]</w:t>
      </w:r>
    </w:p>
    <w:p w:rsidR="00F3236C" w:rsidRPr="00F3236C" w:rsidRDefault="00F3236C" w:rsidP="00F3236C">
      <w:r>
        <w:t xml:space="preserve">The subscript </w:t>
      </w:r>
      <w:r>
        <w:rPr>
          <w:i/>
        </w:rPr>
        <w:t>GR</w:t>
      </w:r>
      <w:r>
        <w:t xml:space="preserve"> indicates general retail</w:t>
      </w:r>
    </w:p>
    <w:p w:rsidR="00AB06BA" w:rsidRDefault="00AB06BA" w:rsidP="00AB06BA">
      <w:pPr>
        <w:jc w:val="both"/>
      </w:pPr>
      <w:r>
        <w:t>This calculation</w:t>
      </w:r>
      <w:r w:rsidR="00E97E8E">
        <w:t xml:space="preserve"> (Table 2, row 5)</w:t>
      </w:r>
      <w:r>
        <w:t xml:space="preserve"> was carried o</w:t>
      </w:r>
      <w:r w:rsidR="00F3236C">
        <w:t>n for each individual category</w:t>
      </w:r>
      <w:r>
        <w:t xml:space="preserve"> and the </w:t>
      </w:r>
      <w:r w:rsidR="00F3236C">
        <w:t>categories were</w:t>
      </w:r>
      <w:r>
        <w:t xml:space="preserve"> added together to determine the total solid waste generation on</w:t>
      </w:r>
      <w:r w:rsidR="00323EE1">
        <w:t xml:space="preserve"> a</w:t>
      </w:r>
      <w:r>
        <w:t xml:space="preserve"> weekly basis</w:t>
      </w:r>
      <w:r w:rsidR="00F3236C">
        <w:t xml:space="preserve"> in tons</w:t>
      </w:r>
      <w:r>
        <w:t xml:space="preserve">.  </w:t>
      </w:r>
      <w:r w:rsidR="00F3236C">
        <w:t xml:space="preserve">Figure 2 shows CSW distribution in the existing condition for the project area by </w:t>
      </w:r>
      <w:r w:rsidR="00ED5D9F">
        <w:t>business type.</w:t>
      </w:r>
    </w:p>
    <w:p w:rsidR="00AB06BA" w:rsidRDefault="00AB06BA" w:rsidP="00A83410">
      <w:pPr>
        <w:ind w:firstLine="720"/>
        <w:jc w:val="both"/>
        <w:rPr>
          <w:noProof/>
        </w:rPr>
      </w:pPr>
      <w:r>
        <w:rPr>
          <w:noProof/>
        </w:rPr>
        <w:drawing>
          <wp:inline distT="0" distB="0" distL="0" distR="0" wp14:anchorId="215DB1F0" wp14:editId="22800441">
            <wp:extent cx="4580255" cy="2741930"/>
            <wp:effectExtent l="0" t="0" r="10795" b="2032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20434" w:rsidRPr="00F20434" w:rsidRDefault="00F20434" w:rsidP="00F20434">
      <w:pPr>
        <w:pStyle w:val="Caption"/>
        <w:rPr>
          <w:b w:val="0"/>
          <w:color w:val="auto"/>
          <w:sz w:val="22"/>
          <w:szCs w:val="22"/>
        </w:rPr>
      </w:pPr>
      <w:bookmarkStart w:id="36" w:name="_Toc292580218"/>
      <w:r w:rsidRPr="00F20434">
        <w:rPr>
          <w:b w:val="0"/>
          <w:color w:val="auto"/>
          <w:sz w:val="22"/>
          <w:szCs w:val="22"/>
        </w:rPr>
        <w:t xml:space="preserve">Figure </w:t>
      </w:r>
      <w:r w:rsidRPr="00F20434">
        <w:rPr>
          <w:b w:val="0"/>
          <w:color w:val="auto"/>
          <w:sz w:val="22"/>
          <w:szCs w:val="22"/>
        </w:rPr>
        <w:fldChar w:fldCharType="begin"/>
      </w:r>
      <w:r w:rsidRPr="00F20434">
        <w:rPr>
          <w:b w:val="0"/>
          <w:color w:val="auto"/>
          <w:sz w:val="22"/>
          <w:szCs w:val="22"/>
        </w:rPr>
        <w:instrText xml:space="preserve"> SEQ Figure \* ARABIC </w:instrText>
      </w:r>
      <w:r w:rsidRPr="00F20434">
        <w:rPr>
          <w:b w:val="0"/>
          <w:color w:val="auto"/>
          <w:sz w:val="22"/>
          <w:szCs w:val="22"/>
        </w:rPr>
        <w:fldChar w:fldCharType="separate"/>
      </w:r>
      <w:r w:rsidR="00DD0A90">
        <w:rPr>
          <w:b w:val="0"/>
          <w:noProof/>
          <w:color w:val="auto"/>
          <w:sz w:val="22"/>
          <w:szCs w:val="22"/>
        </w:rPr>
        <w:t>2</w:t>
      </w:r>
      <w:r w:rsidRPr="00F20434">
        <w:rPr>
          <w:b w:val="0"/>
          <w:color w:val="auto"/>
          <w:sz w:val="22"/>
          <w:szCs w:val="22"/>
        </w:rPr>
        <w:fldChar w:fldCharType="end"/>
      </w:r>
      <w:r w:rsidRPr="00F20434">
        <w:rPr>
          <w:b w:val="0"/>
          <w:color w:val="auto"/>
          <w:sz w:val="22"/>
          <w:szCs w:val="22"/>
        </w:rPr>
        <w:t>: Distribution of CSW by business type</w:t>
      </w:r>
      <w:bookmarkEnd w:id="36"/>
    </w:p>
    <w:p w:rsidR="00582923" w:rsidRPr="00582923" w:rsidRDefault="007B4B3B" w:rsidP="001234D7">
      <w:pPr>
        <w:spacing w:before="240" w:after="0"/>
        <w:jc w:val="both"/>
        <w:rPr>
          <w:sz w:val="28"/>
          <w:szCs w:val="28"/>
        </w:rPr>
      </w:pPr>
      <w:r>
        <w:rPr>
          <w:sz w:val="28"/>
          <w:szCs w:val="28"/>
        </w:rPr>
        <w:t xml:space="preserve">5.1.3 </w:t>
      </w:r>
      <w:r w:rsidR="00582923">
        <w:rPr>
          <w:sz w:val="28"/>
          <w:szCs w:val="28"/>
        </w:rPr>
        <w:t>Total</w:t>
      </w:r>
      <w:r w:rsidR="00323EE1">
        <w:rPr>
          <w:sz w:val="28"/>
          <w:szCs w:val="28"/>
        </w:rPr>
        <w:t xml:space="preserve"> Existing Solid Waste Generation</w:t>
      </w:r>
    </w:p>
    <w:p w:rsidR="00AB06BA" w:rsidRDefault="00ED5D9F" w:rsidP="00ED5D9F">
      <w:pPr>
        <w:jc w:val="both"/>
      </w:pPr>
      <w:r>
        <w:t>T</w:t>
      </w:r>
      <w:r w:rsidR="00582923">
        <w:t>he total amount of</w:t>
      </w:r>
      <w:r>
        <w:t xml:space="preserve"> solid waste generated in the </w:t>
      </w:r>
      <w:r w:rsidR="00AB06BA">
        <w:t xml:space="preserve">existing </w:t>
      </w:r>
      <w:r>
        <w:t>condition for the product area from equation</w:t>
      </w:r>
      <w:r w:rsidR="00582923">
        <w:t xml:space="preserve"> 4</w:t>
      </w:r>
      <w:r>
        <w:t xml:space="preserve"> </w:t>
      </w:r>
      <w:r w:rsidR="00AB06BA">
        <w:t>is</w:t>
      </w:r>
      <w:r>
        <w:t>:</w:t>
      </w:r>
      <w:r w:rsidR="00AB06BA">
        <w:t xml:space="preserve"> </w:t>
      </w:r>
    </w:p>
    <w:p w:rsidR="00AB06BA" w:rsidRDefault="00B77C0C" w:rsidP="001234D7">
      <w:pPr>
        <w:spacing w:after="120"/>
        <w:jc w:val="both"/>
        <w:rPr>
          <w:position w:val="-12"/>
        </w:rPr>
      </w:pPr>
      <w:r w:rsidRPr="00CF5EDC">
        <w:rPr>
          <w:position w:val="-12"/>
        </w:rPr>
        <w:object w:dxaOrig="4000" w:dyaOrig="360">
          <v:shape id="_x0000_i1042" type="#_x0000_t75" style="width:200.25pt;height:18pt" o:ole="">
            <v:imagedata r:id="rId46" o:title=""/>
          </v:shape>
          <o:OLEObject Type="Embed" ProgID="Equation.DSMT4" ShapeID="_x0000_i1042" DrawAspect="Content" ObjectID="_1366547025" r:id="rId47"/>
        </w:object>
      </w:r>
      <w:r w:rsidR="00582923">
        <w:rPr>
          <w:position w:val="-12"/>
        </w:rPr>
        <w:tab/>
      </w:r>
      <w:r w:rsidR="00582923">
        <w:rPr>
          <w:position w:val="-12"/>
        </w:rPr>
        <w:tab/>
      </w:r>
      <w:r w:rsidR="00582923">
        <w:rPr>
          <w:position w:val="-12"/>
        </w:rPr>
        <w:tab/>
      </w:r>
      <w:r w:rsidR="00582923">
        <w:rPr>
          <w:position w:val="-12"/>
        </w:rPr>
        <w:tab/>
      </w:r>
      <w:r w:rsidR="004B12A3">
        <w:rPr>
          <w:position w:val="-12"/>
        </w:rPr>
        <w:tab/>
      </w:r>
      <w:r w:rsidR="004B12A3">
        <w:rPr>
          <w:position w:val="-12"/>
        </w:rPr>
        <w:tab/>
      </w:r>
      <w:r w:rsidR="002058C9">
        <w:rPr>
          <w:position w:val="-12"/>
        </w:rPr>
        <w:tab/>
      </w:r>
      <w:r w:rsidR="00582923">
        <w:rPr>
          <w:position w:val="-12"/>
        </w:rPr>
        <w:t>[4]</w:t>
      </w:r>
    </w:p>
    <w:p w:rsidR="00BE164D" w:rsidRDefault="002058C9" w:rsidP="004B12A3">
      <w:pPr>
        <w:jc w:val="both"/>
      </w:pPr>
      <w:r>
        <w:rPr>
          <w:position w:val="-12"/>
        </w:rPr>
        <w:t>Given that both the existing residential and the existing commercial solid waste generation rates were deemed reasonable, their sum is also reasonable within the errors described.</w:t>
      </w:r>
    </w:p>
    <w:p w:rsidR="00AB06BA" w:rsidRPr="0001715A" w:rsidRDefault="007B4B3B" w:rsidP="006B4A7C">
      <w:pPr>
        <w:pStyle w:val="Heading2"/>
      </w:pPr>
      <w:bookmarkStart w:id="37" w:name="_Toc292629347"/>
      <w:r>
        <w:t xml:space="preserve">5.2 </w:t>
      </w:r>
      <w:r w:rsidR="00AB06BA" w:rsidRPr="0001715A">
        <w:t>Build Conditions</w:t>
      </w:r>
      <w:bookmarkEnd w:id="37"/>
    </w:p>
    <w:p w:rsidR="00AB06BA" w:rsidRDefault="00AB06BA" w:rsidP="00BE164D">
      <w:pPr>
        <w:jc w:val="both"/>
      </w:pPr>
      <w:r>
        <w:t xml:space="preserve">The </w:t>
      </w:r>
      <w:r w:rsidR="004B12A3">
        <w:t>objective</w:t>
      </w:r>
      <w:r>
        <w:t xml:space="preserve"> of this section is to quantify the waste that the project will generate and describe the solid waste management for the proposed project.</w:t>
      </w:r>
    </w:p>
    <w:p w:rsidR="00AB06BA" w:rsidRDefault="004B12A3" w:rsidP="00BE164D">
      <w:pPr>
        <w:jc w:val="both"/>
      </w:pPr>
      <w:r>
        <w:t>T</w:t>
      </w:r>
      <w:r w:rsidR="007D32BF">
        <w:t>he first goal</w:t>
      </w:r>
      <w:r w:rsidR="00AB06BA">
        <w:t xml:space="preserve"> is to calculate the number of people living/studying in the area. According to the CCNY</w:t>
      </w:r>
      <w:r w:rsidR="007D32BF">
        <w:t xml:space="preserve"> </w:t>
      </w:r>
      <w:r w:rsidR="00AB06BA">
        <w:t>Towers website (</w:t>
      </w:r>
      <w:r>
        <w:t xml:space="preserve">City College of New York, </w:t>
      </w:r>
      <w:r w:rsidR="00AB06BA">
        <w:t xml:space="preserve">2011), the </w:t>
      </w:r>
      <w:r>
        <w:t xml:space="preserve">Towers provide </w:t>
      </w:r>
      <w:r w:rsidR="00AB06BA">
        <w:t>accommodation</w:t>
      </w:r>
      <w:r>
        <w:t>s</w:t>
      </w:r>
      <w:r w:rsidR="00AB06BA">
        <w:t xml:space="preserve"> for 589 residents. </w:t>
      </w:r>
      <w:r>
        <w:t>I</w:t>
      </w:r>
      <w:r w:rsidR="00AB06BA">
        <w:t xml:space="preserve">ndividual </w:t>
      </w:r>
      <w:r>
        <w:t xml:space="preserve">residential MSW generation </w:t>
      </w:r>
      <w:r w:rsidR="00AB06BA">
        <w:t>rate is used</w:t>
      </w:r>
      <w:r>
        <w:t xml:space="preserve"> here because the number of residents is known exactly, rather than simply the number of units as in the existing condition. As </w:t>
      </w:r>
      <w:r w:rsidR="00AB06BA">
        <w:t>three new residence halls will be buil</w:t>
      </w:r>
      <w:r>
        <w:t>t</w:t>
      </w:r>
      <w:r w:rsidR="00AB06BA">
        <w:t xml:space="preserve">, </w:t>
      </w:r>
      <w:r>
        <w:t>the projected</w:t>
      </w:r>
      <w:r w:rsidR="00AB06BA">
        <w:t xml:space="preserve"> solid waste </w:t>
      </w:r>
      <w:r>
        <w:t xml:space="preserve">generation </w:t>
      </w:r>
      <w:r w:rsidR="00AB06BA">
        <w:t>will be</w:t>
      </w:r>
      <w:r>
        <w:t>:</w:t>
      </w:r>
    </w:p>
    <w:p w:rsidR="00AB06BA" w:rsidRDefault="00BE164D" w:rsidP="001234D7">
      <w:pPr>
        <w:spacing w:after="120"/>
        <w:jc w:val="both"/>
      </w:pPr>
      <w:r w:rsidRPr="00372970">
        <w:rPr>
          <w:position w:val="-24"/>
        </w:rPr>
        <w:object w:dxaOrig="5840" w:dyaOrig="620">
          <v:shape id="_x0000_i1043" type="#_x0000_t75" style="width:292.5pt;height:32.25pt" o:ole="">
            <v:imagedata r:id="rId48" o:title=""/>
          </v:shape>
          <o:OLEObject Type="Embed" ProgID="Equation.DSMT4" ShapeID="_x0000_i1043" DrawAspect="Content" ObjectID="_1366547026" r:id="rId49"/>
        </w:object>
      </w:r>
      <w:r>
        <w:rPr>
          <w:position w:val="-24"/>
        </w:rPr>
        <w:tab/>
      </w:r>
      <w:r>
        <w:rPr>
          <w:position w:val="-24"/>
        </w:rPr>
        <w:tab/>
      </w:r>
      <w:r>
        <w:rPr>
          <w:position w:val="-24"/>
        </w:rPr>
        <w:tab/>
      </w:r>
      <w:r>
        <w:rPr>
          <w:position w:val="-24"/>
        </w:rPr>
        <w:tab/>
        <w:t>[5]</w:t>
      </w:r>
    </w:p>
    <w:p w:rsidR="00BE164D" w:rsidRDefault="00BE164D" w:rsidP="00BE164D">
      <w:pPr>
        <w:jc w:val="both"/>
      </w:pPr>
      <w:r>
        <w:lastRenderedPageBreak/>
        <w:t xml:space="preserve">The number of people in the buildings similar to the Marshak Hall varies. It depends on the time of </w:t>
      </w:r>
      <w:r w:rsidR="007A36E5">
        <w:t>year</w:t>
      </w:r>
      <w:r>
        <w:t xml:space="preserve"> and time of the day. The existing </w:t>
      </w:r>
      <w:r w:rsidRPr="00740785">
        <w:t>Marshak Science Building</w:t>
      </w:r>
      <w:r>
        <w:t xml:space="preserve"> is 13-story and</w:t>
      </w:r>
      <w:r w:rsidRPr="00740785">
        <w:t xml:space="preserve"> 649,458</w:t>
      </w:r>
      <w:r w:rsidR="007A36E5">
        <w:t xml:space="preserve"> square feet</w:t>
      </w:r>
      <w:r w:rsidRPr="00740785">
        <w:t xml:space="preserve">. </w:t>
      </w:r>
      <w:r>
        <w:t xml:space="preserve">The DEIS for the CCNY science buildings currently under construction describes solid waste and special waste generation for Marshak Building, the model for the three new academic buildings within the project area.  Marshak Building is a mixed-use laboratory/classroom building.  Table 1 estimates solid waste generation per pupil at 1 lb/wk.  The facilities management office of CCNY says that there is no stated capacity for Marshak Building, only for the assembly areas within.  According to </w:t>
      </w:r>
      <w:r>
        <w:rPr>
          <w:i/>
        </w:rPr>
        <w:t>The Campus,</w:t>
      </w:r>
      <w:r>
        <w:t xml:space="preserve"> enrollment for the whole college was 15,402 in 2009 (O’Neal 2009). Using the 1 lb/wk estimate and applying the total school enrollment to Marshak Building</w:t>
      </w:r>
      <w:r w:rsidR="007A36E5">
        <w:t xml:space="preserve"> to equation 7</w:t>
      </w:r>
      <w:r>
        <w:t xml:space="preserve"> gives a weekly regular solid waste generation for the building </w:t>
      </w:r>
      <w:r w:rsidR="007A36E5">
        <w:t>of</w:t>
      </w:r>
      <w:r>
        <w:t xml:space="preserve"> 7.7 tons/wk</w:t>
      </w:r>
      <w:r w:rsidR="007A5D83">
        <w:t>, and total for three new academic buildings:</w:t>
      </w:r>
      <w:r>
        <w:t xml:space="preserve"> </w:t>
      </w:r>
    </w:p>
    <w:p w:rsidR="00BE164D" w:rsidRDefault="007A5D83" w:rsidP="001234D7">
      <w:pPr>
        <w:spacing w:after="120"/>
        <w:jc w:val="both"/>
      </w:pPr>
      <w:r w:rsidRPr="005C6D85">
        <w:rPr>
          <w:position w:val="-24"/>
        </w:rPr>
        <w:object w:dxaOrig="6080" w:dyaOrig="620">
          <v:shape id="_x0000_i1044" type="#_x0000_t75" style="width:304.5pt;height:30.75pt" o:ole="">
            <v:imagedata r:id="rId50" o:title=""/>
          </v:shape>
          <o:OLEObject Type="Embed" ProgID="Equation.DSMT4" ShapeID="_x0000_i1044" DrawAspect="Content" ObjectID="_1366547027" r:id="rId51"/>
        </w:object>
      </w:r>
      <w:r>
        <w:t xml:space="preserve">              </w:t>
      </w:r>
      <w:r w:rsidR="00BE164D">
        <w:t xml:space="preserve">        </w:t>
      </w:r>
      <w:r w:rsidR="005C6D85">
        <w:rPr>
          <w:color w:val="943634"/>
        </w:rPr>
        <w:tab/>
      </w:r>
      <w:r w:rsidR="005C6D85">
        <w:rPr>
          <w:color w:val="943634"/>
        </w:rPr>
        <w:tab/>
      </w:r>
      <w:r w:rsidR="005C6D85">
        <w:rPr>
          <w:color w:val="943634"/>
        </w:rPr>
        <w:tab/>
      </w:r>
      <w:r w:rsidR="005C6D85" w:rsidRPr="005C6D85">
        <w:t>[7]</w:t>
      </w:r>
    </w:p>
    <w:p w:rsidR="00BE164D" w:rsidRDefault="00BE164D" w:rsidP="00BE164D">
      <w:pPr>
        <w:jc w:val="both"/>
      </w:pPr>
      <w:r>
        <w:t>The Science Building DEIS uses the more conservative estimate for government office building</w:t>
      </w:r>
      <w:r w:rsidR="007A36E5">
        <w:t>s in Table 1</w:t>
      </w:r>
      <w:r>
        <w:t xml:space="preserve"> of 0.03 lbs/sf to estimate waste generation</w:t>
      </w:r>
      <w:r w:rsidR="009026E4">
        <w:t xml:space="preserve"> while accounting for the mixed use nature of the facility. </w:t>
      </w:r>
      <w:r>
        <w:t xml:space="preserve">According to Citymap the </w:t>
      </w:r>
      <w:r w:rsidRPr="007A36E5">
        <w:t xml:space="preserve">square footage </w:t>
      </w:r>
      <w:r>
        <w:t>of Marshak building is 620ksf for a standard waste generation rate of 9.3 tons per building per week.  The total waste estimate for the Project would therefore be three times the conservative estimate for Marshak building, or</w:t>
      </w:r>
      <w:r w:rsidRPr="00C0166D">
        <w:rPr>
          <w:color w:val="943634"/>
        </w:rPr>
        <w:t xml:space="preserve"> </w:t>
      </w:r>
      <w:r w:rsidRPr="007A36E5">
        <w:t xml:space="preserve">27.9 </w:t>
      </w:r>
      <w:r>
        <w:t>tons/week.</w:t>
      </w:r>
    </w:p>
    <w:p w:rsidR="00BE164D" w:rsidRPr="00C0166D" w:rsidRDefault="005C6D85" w:rsidP="001234D7">
      <w:pPr>
        <w:spacing w:after="120"/>
        <w:rPr>
          <w:color w:val="943634"/>
        </w:rPr>
      </w:pPr>
      <w:r w:rsidRPr="005C6D85">
        <w:rPr>
          <w:position w:val="-24"/>
        </w:rPr>
        <w:object w:dxaOrig="5360" w:dyaOrig="620">
          <v:shape id="_x0000_i1045" type="#_x0000_t75" style="width:282pt;height:34.5pt" o:ole="">
            <v:imagedata r:id="rId52" o:title=""/>
          </v:shape>
          <o:OLEObject Type="Embed" ProgID="Equation.DSMT4" ShapeID="_x0000_i1045" DrawAspect="Content" ObjectID="_1366547028" r:id="rId53"/>
        </w:object>
      </w:r>
      <w:r>
        <w:rPr>
          <w:position w:val="-10"/>
        </w:rPr>
        <w:t xml:space="preserve">             </w:t>
      </w:r>
      <w:r>
        <w:rPr>
          <w:position w:val="-10"/>
        </w:rPr>
        <w:tab/>
      </w:r>
      <w:r>
        <w:rPr>
          <w:position w:val="-10"/>
        </w:rPr>
        <w:tab/>
      </w:r>
      <w:r>
        <w:rPr>
          <w:position w:val="-10"/>
        </w:rPr>
        <w:tab/>
      </w:r>
      <w:r>
        <w:rPr>
          <w:position w:val="-10"/>
        </w:rPr>
        <w:tab/>
        <w:t>[6]</w:t>
      </w:r>
    </w:p>
    <w:p w:rsidR="00BE164D" w:rsidRPr="0091045C" w:rsidRDefault="00BE164D" w:rsidP="00BE164D">
      <w:pPr>
        <w:spacing w:before="240"/>
        <w:jc w:val="both"/>
        <w:rPr>
          <w:position w:val="-10"/>
        </w:rPr>
      </w:pPr>
      <w:r>
        <w:t>Marshak Building generates special waste in the form of radioactive waste and medical waste from its laborat</w:t>
      </w:r>
      <w:r w:rsidR="00B77C0C">
        <w:t>ories and research facilities.</w:t>
      </w:r>
      <w:r>
        <w:t xml:space="preserve"> CEQR section 14.200 states, “Compliance with applicable requirements [for special waste handling] generally eliminates possible significant adverse impacts” (NYC, 2010).  Special waste generation for Marshak science and biology laboratories was not considered significant. The DEIS suggests that special waste generation in Marshak would be partially shared by the new science buildings currently under construction, a major increase in laboratory facilities at CCNY. It is </w:t>
      </w:r>
      <w:r w:rsidR="00B77C0C">
        <w:t>expected</w:t>
      </w:r>
      <w:r>
        <w:t xml:space="preserve"> that the Project academic buildings </w:t>
      </w:r>
      <w:r w:rsidR="00B77C0C">
        <w:t>will</w:t>
      </w:r>
      <w:r>
        <w:t xml:space="preserve"> be classroom facilities rather than laboratory buildings and </w:t>
      </w:r>
      <w:r w:rsidR="00B77C0C">
        <w:t>will generate</w:t>
      </w:r>
      <w:r>
        <w:t xml:space="preserve"> none of the special waste associated with laboratories.  The special waste would be limited to exhausted fluorescent tubes and some occasional quantity of electronic waste</w:t>
      </w:r>
      <w:r w:rsidR="00B77C0C">
        <w:t xml:space="preserve"> which can be handled with the existing special waste handling methods employed by CCNY</w:t>
      </w:r>
      <w:r>
        <w:t>.</w:t>
      </w:r>
    </w:p>
    <w:p w:rsidR="00BE164D" w:rsidRDefault="004B12A3" w:rsidP="00BE164D">
      <w:pPr>
        <w:jc w:val="both"/>
      </w:pPr>
      <w:r>
        <w:t>It is expected that each new academic building will have some</w:t>
      </w:r>
      <w:r w:rsidR="00BE164D">
        <w:t xml:space="preserve"> food service area </w:t>
      </w:r>
      <w:r>
        <w:t xml:space="preserve">similar to </w:t>
      </w:r>
      <w:r w:rsidR="00BE164D">
        <w:t>the Marshak Hall Starb</w:t>
      </w:r>
      <w:r>
        <w:t>u</w:t>
      </w:r>
      <w:r w:rsidR="00BE164D">
        <w:t>cks café, which also serves salads and sandwiches from the main cafeteria. At a</w:t>
      </w:r>
      <w:r w:rsidR="007A36E5">
        <w:t>ny given time</w:t>
      </w:r>
      <w:r w:rsidR="00BE164D">
        <w:t xml:space="preserve"> there is only one person on duty, making the </w:t>
      </w:r>
      <w:r>
        <w:t>food service related MSW generation</w:t>
      </w:r>
      <w:r w:rsidR="00BE164D">
        <w:t xml:space="preserve"> as follow</w:t>
      </w:r>
      <w:r>
        <w:t>s, considering a café as a fast food establishment from Table 1</w:t>
      </w:r>
      <w:r w:rsidR="00BE164D">
        <w:t>:</w:t>
      </w:r>
    </w:p>
    <w:p w:rsidR="00BE164D" w:rsidRDefault="00A8332B" w:rsidP="00BE164D">
      <w:pPr>
        <w:jc w:val="both"/>
      </w:pPr>
      <w:r w:rsidRPr="00A8332B">
        <w:rPr>
          <w:position w:val="-24"/>
        </w:rPr>
        <w:object w:dxaOrig="4840" w:dyaOrig="620">
          <v:shape id="_x0000_i1046" type="#_x0000_t75" style="width:242.25pt;height:32.25pt" o:ole="">
            <v:imagedata r:id="rId54" o:title=""/>
          </v:shape>
          <o:OLEObject Type="Embed" ProgID="Equation.DSMT4" ShapeID="_x0000_i1046" DrawAspect="Content" ObjectID="_1366547029" r:id="rId55"/>
        </w:object>
      </w:r>
      <w:r>
        <w:rPr>
          <w:position w:val="-10"/>
        </w:rPr>
        <w:tab/>
      </w:r>
      <w:r>
        <w:rPr>
          <w:position w:val="-10"/>
        </w:rPr>
        <w:tab/>
      </w:r>
      <w:r>
        <w:rPr>
          <w:position w:val="-10"/>
        </w:rPr>
        <w:tab/>
      </w:r>
      <w:r>
        <w:rPr>
          <w:position w:val="-10"/>
        </w:rPr>
        <w:tab/>
      </w:r>
      <w:r>
        <w:rPr>
          <w:position w:val="-10"/>
        </w:rPr>
        <w:tab/>
      </w:r>
      <w:r>
        <w:rPr>
          <w:position w:val="-10"/>
        </w:rPr>
        <w:tab/>
        <w:t>[3]</w:t>
      </w:r>
    </w:p>
    <w:p w:rsidR="00BE164D" w:rsidRPr="00930BAB" w:rsidRDefault="00EE2F53" w:rsidP="00B43149">
      <w:pPr>
        <w:jc w:val="both"/>
      </w:pPr>
      <w:r>
        <w:t>The total expected waste</w:t>
      </w:r>
      <w:r w:rsidR="00BE164D">
        <w:t xml:space="preserve"> in the </w:t>
      </w:r>
      <w:r w:rsidR="004B12A3">
        <w:t>project</w:t>
      </w:r>
      <w:r w:rsidR="00BE164D">
        <w:t xml:space="preserve"> area is given in</w:t>
      </w:r>
      <w:r w:rsidR="00BE164D" w:rsidRPr="00930BAB">
        <w:t xml:space="preserve"> Table </w:t>
      </w:r>
      <w:r w:rsidR="00930BAB" w:rsidRPr="00930BAB">
        <w:t>3</w:t>
      </w:r>
      <w:r w:rsidR="00BE164D" w:rsidRPr="00930BAB">
        <w:t>, where a</w:t>
      </w:r>
      <w:r w:rsidR="00930BAB" w:rsidRPr="00930BAB">
        <w:t>ll types of waste are presented and mirroring the result of Equation 8:</w:t>
      </w:r>
    </w:p>
    <w:p w:rsidR="00930BAB" w:rsidRPr="00930BAB" w:rsidRDefault="00930BAB" w:rsidP="001234D7">
      <w:pPr>
        <w:spacing w:after="120"/>
        <w:jc w:val="both"/>
      </w:pPr>
      <w:r w:rsidRPr="00930BAB">
        <w:rPr>
          <w:position w:val="-12"/>
        </w:rPr>
        <w:object w:dxaOrig="2520" w:dyaOrig="360">
          <v:shape id="_x0000_i1047" type="#_x0000_t75" style="width:126pt;height:18pt" o:ole="">
            <v:imagedata r:id="rId56" o:title=""/>
          </v:shape>
          <o:OLEObject Type="Embed" ProgID="Equation.DSMT4" ShapeID="_x0000_i1047" DrawAspect="Content" ObjectID="_1366547030" r:id="rId57"/>
        </w:object>
      </w:r>
      <w:r w:rsidRPr="00930BAB">
        <w:tab/>
      </w:r>
      <w:r w:rsidRPr="00930BAB">
        <w:tab/>
      </w:r>
      <w:r w:rsidRPr="00930BAB">
        <w:tab/>
      </w:r>
      <w:r w:rsidRPr="00930BAB">
        <w:tab/>
      </w:r>
      <w:r w:rsidRPr="00930BAB">
        <w:tab/>
      </w:r>
      <w:r w:rsidRPr="00930BAB">
        <w:tab/>
      </w:r>
      <w:r w:rsidRPr="00930BAB">
        <w:tab/>
      </w:r>
      <w:r w:rsidRPr="00930BAB">
        <w:tab/>
      </w:r>
      <w:r w:rsidRPr="00930BAB">
        <w:tab/>
        <w:t>[8]</w:t>
      </w:r>
    </w:p>
    <w:p w:rsidR="00BE164D" w:rsidRPr="007D6C29" w:rsidRDefault="007D6C29" w:rsidP="007D6C29">
      <w:pPr>
        <w:pStyle w:val="Caption"/>
        <w:rPr>
          <w:b w:val="0"/>
          <w:color w:val="auto"/>
          <w:sz w:val="22"/>
          <w:szCs w:val="22"/>
        </w:rPr>
      </w:pPr>
      <w:bookmarkStart w:id="38" w:name="_Toc292580398"/>
      <w:r w:rsidRPr="007D6C29">
        <w:rPr>
          <w:b w:val="0"/>
          <w:color w:val="auto"/>
          <w:sz w:val="22"/>
          <w:szCs w:val="22"/>
        </w:rPr>
        <w:t xml:space="preserve">Table </w:t>
      </w:r>
      <w:r w:rsidRPr="007D6C29">
        <w:rPr>
          <w:b w:val="0"/>
          <w:color w:val="auto"/>
          <w:sz w:val="22"/>
          <w:szCs w:val="22"/>
        </w:rPr>
        <w:fldChar w:fldCharType="begin"/>
      </w:r>
      <w:r w:rsidRPr="007D6C29">
        <w:rPr>
          <w:b w:val="0"/>
          <w:color w:val="auto"/>
          <w:sz w:val="22"/>
          <w:szCs w:val="22"/>
        </w:rPr>
        <w:instrText xml:space="preserve"> SEQ Table \* ARABIC </w:instrText>
      </w:r>
      <w:r w:rsidRPr="007D6C29">
        <w:rPr>
          <w:b w:val="0"/>
          <w:color w:val="auto"/>
          <w:sz w:val="22"/>
          <w:szCs w:val="22"/>
        </w:rPr>
        <w:fldChar w:fldCharType="separate"/>
      </w:r>
      <w:r w:rsidR="00DD0A90">
        <w:rPr>
          <w:b w:val="0"/>
          <w:noProof/>
          <w:color w:val="auto"/>
          <w:sz w:val="22"/>
          <w:szCs w:val="22"/>
        </w:rPr>
        <w:t>3</w:t>
      </w:r>
      <w:r w:rsidRPr="007D6C29">
        <w:rPr>
          <w:b w:val="0"/>
          <w:color w:val="auto"/>
          <w:sz w:val="22"/>
          <w:szCs w:val="22"/>
        </w:rPr>
        <w:fldChar w:fldCharType="end"/>
      </w:r>
      <w:r w:rsidRPr="007D6C29">
        <w:rPr>
          <w:b w:val="0"/>
          <w:color w:val="auto"/>
          <w:sz w:val="22"/>
          <w:szCs w:val="22"/>
        </w:rPr>
        <w:t>: Estimated MSW generated by proposed project</w:t>
      </w:r>
      <w:bookmarkEnd w:id="38"/>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90"/>
      </w:tblGrid>
      <w:tr w:rsidR="00BE164D" w:rsidRPr="00752381" w:rsidTr="007D6C29">
        <w:tc>
          <w:tcPr>
            <w:tcW w:w="1980" w:type="dxa"/>
            <w:shd w:val="clear" w:color="auto" w:fill="auto"/>
            <w:vAlign w:val="center"/>
          </w:tcPr>
          <w:p w:rsidR="00BE164D" w:rsidRPr="00752381" w:rsidRDefault="00BE164D" w:rsidP="007D6C29">
            <w:pPr>
              <w:spacing w:after="0" w:line="240" w:lineRule="auto"/>
              <w:jc w:val="both"/>
            </w:pPr>
            <w:r w:rsidRPr="00752381">
              <w:rPr>
                <w:rFonts w:cs="Arial"/>
                <w:b/>
                <w:bCs/>
                <w:sz w:val="20"/>
                <w:szCs w:val="20"/>
              </w:rPr>
              <w:t>Type of Waste</w:t>
            </w:r>
          </w:p>
        </w:tc>
        <w:tc>
          <w:tcPr>
            <w:tcW w:w="2790" w:type="dxa"/>
            <w:shd w:val="clear" w:color="auto" w:fill="auto"/>
          </w:tcPr>
          <w:p w:rsidR="00BE164D" w:rsidRPr="00752381" w:rsidRDefault="00BE164D" w:rsidP="007D6C29">
            <w:pPr>
              <w:spacing w:after="0" w:line="240" w:lineRule="auto"/>
              <w:jc w:val="both"/>
              <w:rPr>
                <w:b/>
              </w:rPr>
            </w:pPr>
            <w:r w:rsidRPr="00752381">
              <w:rPr>
                <w:b/>
              </w:rPr>
              <w:t xml:space="preserve">Amount (tons per week) </w:t>
            </w:r>
          </w:p>
        </w:tc>
      </w:tr>
      <w:tr w:rsidR="00BE164D" w:rsidRPr="00752381" w:rsidTr="007D6C29">
        <w:tc>
          <w:tcPr>
            <w:tcW w:w="1980" w:type="dxa"/>
            <w:shd w:val="clear" w:color="auto" w:fill="auto"/>
            <w:vAlign w:val="center"/>
          </w:tcPr>
          <w:p w:rsidR="00BE164D" w:rsidRPr="00752381" w:rsidRDefault="00BE164D" w:rsidP="007D6C29">
            <w:pPr>
              <w:spacing w:after="0" w:line="240" w:lineRule="auto"/>
              <w:jc w:val="both"/>
            </w:pPr>
            <w:r w:rsidRPr="00752381">
              <w:rPr>
                <w:rFonts w:cs="Arial"/>
                <w:sz w:val="20"/>
                <w:szCs w:val="20"/>
              </w:rPr>
              <w:t>SW residential</w:t>
            </w:r>
          </w:p>
        </w:tc>
        <w:tc>
          <w:tcPr>
            <w:tcW w:w="2790" w:type="dxa"/>
            <w:shd w:val="clear" w:color="auto" w:fill="auto"/>
          </w:tcPr>
          <w:p w:rsidR="00BE164D" w:rsidRPr="00752381" w:rsidRDefault="00BE164D" w:rsidP="007D6C29">
            <w:pPr>
              <w:spacing w:after="0" w:line="240" w:lineRule="auto"/>
              <w:jc w:val="both"/>
            </w:pPr>
            <w:r w:rsidRPr="00752381">
              <w:t>15</w:t>
            </w:r>
          </w:p>
        </w:tc>
      </w:tr>
      <w:tr w:rsidR="00BE164D" w:rsidRPr="00752381" w:rsidTr="007D6C29">
        <w:tc>
          <w:tcPr>
            <w:tcW w:w="1980" w:type="dxa"/>
            <w:shd w:val="clear" w:color="auto" w:fill="auto"/>
            <w:vAlign w:val="center"/>
          </w:tcPr>
          <w:p w:rsidR="00BE164D" w:rsidRPr="00752381" w:rsidRDefault="00BE164D" w:rsidP="007D6C29">
            <w:pPr>
              <w:spacing w:after="0" w:line="240" w:lineRule="auto"/>
              <w:jc w:val="both"/>
            </w:pPr>
            <w:r w:rsidRPr="00752381">
              <w:rPr>
                <w:rFonts w:cs="Arial"/>
                <w:sz w:val="20"/>
                <w:szCs w:val="20"/>
              </w:rPr>
              <w:t>SW college</w:t>
            </w:r>
          </w:p>
        </w:tc>
        <w:tc>
          <w:tcPr>
            <w:tcW w:w="2790" w:type="dxa"/>
            <w:shd w:val="clear" w:color="auto" w:fill="auto"/>
          </w:tcPr>
          <w:p w:rsidR="00BE164D" w:rsidRPr="00752381" w:rsidRDefault="00BE164D" w:rsidP="007D6C29">
            <w:pPr>
              <w:spacing w:after="0" w:line="240" w:lineRule="auto"/>
              <w:jc w:val="both"/>
            </w:pPr>
            <w:r w:rsidRPr="00752381">
              <w:t>27.9</w:t>
            </w:r>
          </w:p>
        </w:tc>
      </w:tr>
      <w:tr w:rsidR="00BE164D" w:rsidRPr="00752381" w:rsidTr="007D6C29">
        <w:tc>
          <w:tcPr>
            <w:tcW w:w="1980" w:type="dxa"/>
            <w:shd w:val="clear" w:color="auto" w:fill="auto"/>
            <w:vAlign w:val="center"/>
          </w:tcPr>
          <w:p w:rsidR="00BE164D" w:rsidRPr="00752381" w:rsidRDefault="00BE164D" w:rsidP="007D6C29">
            <w:pPr>
              <w:spacing w:after="0" w:line="240" w:lineRule="auto"/>
              <w:jc w:val="both"/>
            </w:pPr>
            <w:r w:rsidRPr="00752381">
              <w:rPr>
                <w:rFonts w:cs="Arial"/>
                <w:sz w:val="20"/>
                <w:szCs w:val="20"/>
              </w:rPr>
              <w:t>SW cafeteria</w:t>
            </w:r>
          </w:p>
        </w:tc>
        <w:tc>
          <w:tcPr>
            <w:tcW w:w="2790" w:type="dxa"/>
            <w:shd w:val="clear" w:color="auto" w:fill="auto"/>
          </w:tcPr>
          <w:p w:rsidR="00BE164D" w:rsidRPr="00752381" w:rsidRDefault="00BE164D" w:rsidP="007D6C29">
            <w:pPr>
              <w:spacing w:after="0" w:line="240" w:lineRule="auto"/>
              <w:jc w:val="both"/>
            </w:pPr>
            <w:r w:rsidRPr="00752381">
              <w:t>0.3</w:t>
            </w:r>
          </w:p>
        </w:tc>
      </w:tr>
      <w:tr w:rsidR="00BE164D" w:rsidRPr="00752381" w:rsidTr="007D6C29">
        <w:tc>
          <w:tcPr>
            <w:tcW w:w="1980" w:type="dxa"/>
            <w:shd w:val="clear" w:color="auto" w:fill="auto"/>
            <w:vAlign w:val="center"/>
          </w:tcPr>
          <w:p w:rsidR="00BE164D" w:rsidRPr="00752381" w:rsidRDefault="00BE164D" w:rsidP="007D6C29">
            <w:pPr>
              <w:spacing w:after="0" w:line="240" w:lineRule="auto"/>
              <w:jc w:val="both"/>
              <w:rPr>
                <w:rFonts w:cs="Arial"/>
                <w:sz w:val="20"/>
                <w:szCs w:val="20"/>
              </w:rPr>
            </w:pPr>
            <w:r w:rsidRPr="00752381">
              <w:rPr>
                <w:rFonts w:cs="Arial"/>
                <w:sz w:val="20"/>
                <w:szCs w:val="20"/>
              </w:rPr>
              <w:t xml:space="preserve">Total </w:t>
            </w:r>
          </w:p>
        </w:tc>
        <w:tc>
          <w:tcPr>
            <w:tcW w:w="2790" w:type="dxa"/>
            <w:shd w:val="clear" w:color="auto" w:fill="auto"/>
          </w:tcPr>
          <w:p w:rsidR="00BE164D" w:rsidRPr="00752381" w:rsidRDefault="00BE164D" w:rsidP="007D6C29">
            <w:pPr>
              <w:spacing w:after="0" w:line="240" w:lineRule="auto"/>
              <w:jc w:val="both"/>
            </w:pPr>
            <w:r w:rsidRPr="00752381">
              <w:t>43.2</w:t>
            </w:r>
          </w:p>
        </w:tc>
      </w:tr>
    </w:tbl>
    <w:p w:rsidR="00BE164D" w:rsidRDefault="00BE164D" w:rsidP="00BE164D">
      <w:pPr>
        <w:jc w:val="both"/>
      </w:pPr>
    </w:p>
    <w:p w:rsidR="00BE164D" w:rsidRPr="00C0166D" w:rsidRDefault="00BE164D" w:rsidP="00EE2F53">
      <w:pPr>
        <w:jc w:val="both"/>
        <w:rPr>
          <w:color w:val="943634"/>
        </w:rPr>
      </w:pPr>
      <w:r>
        <w:t xml:space="preserve">The total number, 43.2 tons/week, is a fraction of the solid waste produced in the area now. </w:t>
      </w:r>
      <w:r w:rsidRPr="00EE2F53">
        <w:t xml:space="preserve">As </w:t>
      </w:r>
      <w:r w:rsidR="00EE2F53">
        <w:t>described</w:t>
      </w:r>
      <w:r w:rsidRPr="00EE2F53">
        <w:t xml:space="preserve"> </w:t>
      </w:r>
      <w:r w:rsidR="00EE2F53">
        <w:t>previously</w:t>
      </w:r>
      <w:r>
        <w:t>, between 135</w:t>
      </w:r>
      <w:r w:rsidRPr="00983FA8">
        <w:rPr>
          <w:vertAlign w:val="superscript"/>
        </w:rPr>
        <w:t>th</w:t>
      </w:r>
      <w:r>
        <w:t xml:space="preserve"> and 140</w:t>
      </w:r>
      <w:r w:rsidRPr="00983FA8">
        <w:rPr>
          <w:vertAlign w:val="superscript"/>
        </w:rPr>
        <w:t>th</w:t>
      </w:r>
      <w:r>
        <w:t xml:space="preserve"> streets and between Amsterdam Ave and 12</w:t>
      </w:r>
      <w:r w:rsidRPr="00B07F9C">
        <w:rPr>
          <w:vertAlign w:val="superscript"/>
        </w:rPr>
        <w:t>th</w:t>
      </w:r>
      <w:r>
        <w:t xml:space="preserve"> Ave, there are currently many residential buildings, varying in size from 5 to 24 floors with </w:t>
      </w:r>
      <w:r w:rsidR="00EE2F53">
        <w:t>between 20 and 770</w:t>
      </w:r>
      <w:r>
        <w:t xml:space="preserve"> unit</w:t>
      </w:r>
      <w:r w:rsidR="00EE2F53">
        <w:t>s;</w:t>
      </w:r>
      <w:r>
        <w:t xml:space="preserve"> a public school, general retail stores, offices, several grocery stores, and fast food restaurants.  </w:t>
      </w:r>
      <w:r w:rsidRPr="00EE2F53">
        <w:t xml:space="preserve">This </w:t>
      </w:r>
      <w:r w:rsidR="00C736BC" w:rsidRPr="00EE2F53">
        <w:t>area</w:t>
      </w:r>
      <w:r w:rsidR="00EE2F53" w:rsidRPr="00EE2F53">
        <w:t xml:space="preserve"> generates </w:t>
      </w:r>
      <w:r w:rsidRPr="00EE2F53">
        <w:t>124.35 tons/week</w:t>
      </w:r>
      <w:r w:rsidR="00EE2F53" w:rsidRPr="00EE2F53">
        <w:t xml:space="preserve"> of solid waste</w:t>
      </w:r>
      <w:r w:rsidRPr="00EE2F53">
        <w:t xml:space="preserve">, </w:t>
      </w:r>
      <w:r w:rsidR="00EE2F53" w:rsidRPr="00EE2F53">
        <w:t>a substantial amount. The project</w:t>
      </w:r>
      <w:r w:rsidRPr="00EE2F53">
        <w:t xml:space="preserve"> </w:t>
      </w:r>
      <w:r w:rsidR="00EE2F53" w:rsidRPr="00EE2F53">
        <w:t>is estimated to generate</w:t>
      </w:r>
      <w:r w:rsidRPr="00EE2F53">
        <w:t xml:space="preserve"> 43.2 tons</w:t>
      </w:r>
      <w:r w:rsidR="00EE2F53" w:rsidRPr="00EE2F53">
        <w:t>/week</w:t>
      </w:r>
      <w:r w:rsidRPr="00EE2F53">
        <w:t xml:space="preserve">, which is 34.7% of the existing amount of solid waste per week. </w:t>
      </w:r>
      <w:r>
        <w:t xml:space="preserve">Thus, the proposed project is favorable </w:t>
      </w:r>
      <w:r w:rsidR="00EE2F53">
        <w:t>from the point of view of solid waste management</w:t>
      </w:r>
      <w:r>
        <w:t xml:space="preserve">. </w:t>
      </w:r>
      <w:r w:rsidRPr="00EE2F53">
        <w:t>It will significantly reduce the amount of solid waste generated in this area. The expected amount (43.2 vs 124.35 tons/week) is the reduction of solid waste in the area by 65%.</w:t>
      </w:r>
    </w:p>
    <w:p w:rsidR="00BE164D" w:rsidRPr="00BC73E6" w:rsidRDefault="00BC73E6" w:rsidP="00BC73E6">
      <w:pPr>
        <w:jc w:val="both"/>
      </w:pPr>
      <w:r w:rsidRPr="00BC73E6">
        <w:t>Figure 3</w:t>
      </w:r>
      <w:r w:rsidR="00BE164D" w:rsidRPr="00BC73E6">
        <w:t xml:space="preserve"> </w:t>
      </w:r>
      <w:r w:rsidRPr="00BC73E6">
        <w:t>shows</w:t>
      </w:r>
      <w:r w:rsidR="00BE164D" w:rsidRPr="00BC73E6">
        <w:t xml:space="preserve"> the expected solid waste </w:t>
      </w:r>
      <w:r w:rsidRPr="00BC73E6">
        <w:t>generated by the project</w:t>
      </w:r>
      <w:r w:rsidR="00BE164D" w:rsidRPr="00BC73E6">
        <w:t xml:space="preserve"> per type per week. Solid waste, generated in the academic buildings, would be the largest amount of total waste generated (64%). The least amount of waste would be food waste, with a 0.3 tons/week (1% of total).  </w:t>
      </w:r>
    </w:p>
    <w:p w:rsidR="00BE164D" w:rsidRPr="00C0166D" w:rsidRDefault="00BE164D" w:rsidP="00C33C7C">
      <w:pPr>
        <w:jc w:val="both"/>
        <w:rPr>
          <w:color w:val="943634"/>
        </w:rPr>
      </w:pPr>
    </w:p>
    <w:p w:rsidR="00BE164D" w:rsidRPr="00A02CDA" w:rsidRDefault="00BE164D" w:rsidP="00817BAC">
      <w:pPr>
        <w:jc w:val="both"/>
      </w:pPr>
      <w:r>
        <w:rPr>
          <w:noProof/>
        </w:rPr>
        <w:drawing>
          <wp:inline distT="0" distB="0" distL="0" distR="0" wp14:anchorId="242FF0B4" wp14:editId="5E3200FB">
            <wp:extent cx="5486400" cy="1866900"/>
            <wp:effectExtent l="0" t="0" r="19050"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B43149" w:rsidRPr="00F20434" w:rsidRDefault="00F20434" w:rsidP="00F20434">
      <w:pPr>
        <w:pStyle w:val="Caption"/>
        <w:rPr>
          <w:b w:val="0"/>
          <w:color w:val="auto"/>
          <w:sz w:val="22"/>
          <w:szCs w:val="22"/>
        </w:rPr>
      </w:pPr>
      <w:bookmarkStart w:id="39" w:name="_Toc292580219"/>
      <w:r w:rsidRPr="00F20434">
        <w:rPr>
          <w:b w:val="0"/>
          <w:color w:val="auto"/>
          <w:sz w:val="22"/>
          <w:szCs w:val="22"/>
        </w:rPr>
        <w:t xml:space="preserve">Figure </w:t>
      </w:r>
      <w:r w:rsidRPr="00F20434">
        <w:rPr>
          <w:b w:val="0"/>
          <w:color w:val="auto"/>
          <w:sz w:val="22"/>
          <w:szCs w:val="22"/>
        </w:rPr>
        <w:fldChar w:fldCharType="begin"/>
      </w:r>
      <w:r w:rsidRPr="00F20434">
        <w:rPr>
          <w:b w:val="0"/>
          <w:color w:val="auto"/>
          <w:sz w:val="22"/>
          <w:szCs w:val="22"/>
        </w:rPr>
        <w:instrText xml:space="preserve"> SEQ Figure \* ARABIC </w:instrText>
      </w:r>
      <w:r w:rsidRPr="00F20434">
        <w:rPr>
          <w:b w:val="0"/>
          <w:color w:val="auto"/>
          <w:sz w:val="22"/>
          <w:szCs w:val="22"/>
        </w:rPr>
        <w:fldChar w:fldCharType="separate"/>
      </w:r>
      <w:r w:rsidR="00DD0A90">
        <w:rPr>
          <w:b w:val="0"/>
          <w:noProof/>
          <w:color w:val="auto"/>
          <w:sz w:val="22"/>
          <w:szCs w:val="22"/>
        </w:rPr>
        <w:t>3</w:t>
      </w:r>
      <w:r w:rsidRPr="00F20434">
        <w:rPr>
          <w:b w:val="0"/>
          <w:color w:val="auto"/>
          <w:sz w:val="22"/>
          <w:szCs w:val="22"/>
        </w:rPr>
        <w:fldChar w:fldCharType="end"/>
      </w:r>
      <w:r w:rsidRPr="00F20434">
        <w:rPr>
          <w:b w:val="0"/>
          <w:color w:val="auto"/>
          <w:sz w:val="22"/>
          <w:szCs w:val="22"/>
        </w:rPr>
        <w:t>: Estimated MSW generated by proposed project</w:t>
      </w:r>
      <w:bookmarkEnd w:id="39"/>
    </w:p>
    <w:p w:rsidR="00BE164D" w:rsidRDefault="00BE164D" w:rsidP="00817BAC">
      <w:pPr>
        <w:jc w:val="both"/>
      </w:pPr>
      <w:r>
        <w:t>For cal</w:t>
      </w:r>
      <w:r w:rsidR="009C2241">
        <w:t>culating the amount of expected</w:t>
      </w:r>
      <w:r>
        <w:t xml:space="preserve"> waste in the</w:t>
      </w:r>
      <w:r w:rsidR="009C2241">
        <w:t xml:space="preserve"> project</w:t>
      </w:r>
      <w:r>
        <w:t xml:space="preserve"> area, the conservative approach was implemented. For this, </w:t>
      </w:r>
      <w:r w:rsidRPr="00A02CDA">
        <w:t>the highest number</w:t>
      </w:r>
      <w:r>
        <w:t>s</w:t>
      </w:r>
      <w:r w:rsidRPr="00A02CDA">
        <w:t xml:space="preserve"> </w:t>
      </w:r>
      <w:r w:rsidR="009C2241">
        <w:t>for</w:t>
      </w:r>
      <w:r w:rsidRPr="00A02CDA">
        <w:t xml:space="preserve"> produced waste </w:t>
      </w:r>
      <w:r>
        <w:t>were</w:t>
      </w:r>
      <w:r w:rsidRPr="00A02CDA">
        <w:t xml:space="preserve"> </w:t>
      </w:r>
      <w:r>
        <w:t>calculated.</w:t>
      </w:r>
    </w:p>
    <w:p w:rsidR="00BE164D" w:rsidRDefault="00BE164D" w:rsidP="00817BAC">
      <w:pPr>
        <w:ind w:firstLine="720"/>
        <w:jc w:val="both"/>
      </w:pPr>
      <w:r>
        <w:t xml:space="preserve">The </w:t>
      </w:r>
      <w:r w:rsidR="007A5D83">
        <w:t>possible sources of error</w:t>
      </w:r>
      <w:r>
        <w:t xml:space="preserve"> in the calculations are:</w:t>
      </w:r>
    </w:p>
    <w:p w:rsidR="00BE164D" w:rsidRDefault="00BE164D" w:rsidP="009C2241">
      <w:pPr>
        <w:numPr>
          <w:ilvl w:val="0"/>
          <w:numId w:val="33"/>
        </w:numPr>
        <w:jc w:val="both"/>
      </w:pPr>
      <w:r>
        <w:t>Not knowing th</w:t>
      </w:r>
      <w:r w:rsidR="009C2241">
        <w:t>e exact capacity of the Marshak</w:t>
      </w:r>
      <w:r>
        <w:t xml:space="preserve"> and therefore estimating that all the students can be inside one hall at the same time (unrealistically large number of people). </w:t>
      </w:r>
    </w:p>
    <w:p w:rsidR="00BE164D" w:rsidRPr="009C2241" w:rsidRDefault="00BE164D" w:rsidP="009C2241">
      <w:pPr>
        <w:numPr>
          <w:ilvl w:val="0"/>
          <w:numId w:val="33"/>
        </w:numPr>
        <w:jc w:val="both"/>
      </w:pPr>
      <w:r w:rsidRPr="009C2241">
        <w:lastRenderedPageBreak/>
        <w:t xml:space="preserve">Calculating the amount of waste in an academic building using its gross footage. </w:t>
      </w:r>
      <w:r w:rsidR="009C2241" w:rsidRPr="009C2241">
        <w:t xml:space="preserve"> This uncertainty is similar to that associated with the use of any rate or threshold in CEQR rather than one tailored to the specific </w:t>
      </w:r>
      <w:r w:rsidR="007A5D83">
        <w:t>conditions</w:t>
      </w:r>
      <w:r w:rsidR="009C2241" w:rsidRPr="009C2241">
        <w:t>.</w:t>
      </w:r>
    </w:p>
    <w:p w:rsidR="006B4A7C" w:rsidRDefault="007B4B3B" w:rsidP="001234D7">
      <w:pPr>
        <w:pStyle w:val="Heading2"/>
        <w:spacing w:before="240"/>
        <w:jc w:val="both"/>
      </w:pPr>
      <w:bookmarkStart w:id="40" w:name="_Toc292629348"/>
      <w:r>
        <w:t xml:space="preserve">5.3 </w:t>
      </w:r>
      <w:r w:rsidR="006B4A7C">
        <w:t>Impact Significance</w:t>
      </w:r>
      <w:bookmarkEnd w:id="40"/>
    </w:p>
    <w:p w:rsidR="009C2241" w:rsidRPr="009C2241" w:rsidRDefault="009C2241" w:rsidP="001234D7">
      <w:pPr>
        <w:jc w:val="both"/>
      </w:pPr>
      <w:r w:rsidRPr="009C2241">
        <w:t>The project is fav</w:t>
      </w:r>
      <w:r>
        <w:t>orable for the City of New York</w:t>
      </w:r>
      <w:r w:rsidRPr="009C2241">
        <w:t xml:space="preserve"> as it decreases the amount of produced s</w:t>
      </w:r>
      <w:r w:rsidR="007A5D83">
        <w:t>olid waste in the area compared</w:t>
      </w:r>
      <w:r w:rsidRPr="009C2241">
        <w:t xml:space="preserve"> to the existing conditions by 65% and reduc</w:t>
      </w:r>
      <w:r>
        <w:t>es</w:t>
      </w:r>
      <w:r w:rsidRPr="009C2241">
        <w:t xml:space="preserve"> the impact of this area </w:t>
      </w:r>
      <w:r>
        <w:t>on the municipal solid waste infrastructure</w:t>
      </w:r>
      <w:r w:rsidRPr="009C2241">
        <w:t>.</w:t>
      </w:r>
      <w:r>
        <w:t xml:space="preserve"> Using equation 9 to quantify the impact:</w:t>
      </w:r>
      <w:r w:rsidRPr="009C2241">
        <w:t xml:space="preserve"> </w:t>
      </w:r>
    </w:p>
    <w:p w:rsidR="00AB06BA" w:rsidRPr="00752381" w:rsidRDefault="00752381" w:rsidP="00724DB4">
      <w:pPr>
        <w:spacing w:after="120"/>
      </w:pPr>
      <w:r w:rsidRPr="00752381">
        <w:rPr>
          <w:rFonts w:eastAsiaTheme="minorEastAsia"/>
        </w:rPr>
        <w:object w:dxaOrig="6700" w:dyaOrig="400">
          <v:shape id="_x0000_i1048" type="#_x0000_t75" style="width:335.25pt;height:20.25pt" o:ole="">
            <v:imagedata r:id="rId59" o:title=""/>
          </v:shape>
          <o:OLEObject Type="Embed" ProgID="Equation.DSMT4" ShapeID="_x0000_i1048" DrawAspect="Content" ObjectID="_1366547031" r:id="rId60"/>
        </w:object>
      </w:r>
      <w:r w:rsidRPr="00752381">
        <w:rPr>
          <w:rFonts w:eastAsiaTheme="minorEastAsia"/>
        </w:rPr>
        <w:tab/>
      </w:r>
      <w:r w:rsidRPr="00752381">
        <w:rPr>
          <w:rFonts w:eastAsiaTheme="minorEastAsia"/>
        </w:rPr>
        <w:tab/>
      </w:r>
      <w:r w:rsidRPr="00752381">
        <w:rPr>
          <w:rFonts w:eastAsiaTheme="minorEastAsia"/>
        </w:rPr>
        <w:tab/>
        <w:t>[9]</w:t>
      </w:r>
    </w:p>
    <w:p w:rsidR="00724DB4" w:rsidRPr="00724DB4" w:rsidRDefault="00724DB4" w:rsidP="00724DB4">
      <w:pPr>
        <w:spacing w:before="120" w:after="0"/>
        <w:jc w:val="both"/>
      </w:pPr>
      <w:r>
        <w:t>Additionally, there are no MSW infrastructure facilities within the project area, nor any regulation component to the project which could impact the city’s SWM, so by these standards also there is no significant adverse impact. The finding of no significant adverse impact authorizes a recommendation to allow the proposed CCNY expansion project from the standpoint of SWM.</w:t>
      </w:r>
    </w:p>
    <w:p w:rsidR="00AB06BA" w:rsidRDefault="007B4B3B" w:rsidP="001234D7">
      <w:pPr>
        <w:spacing w:before="240" w:after="0"/>
        <w:jc w:val="both"/>
        <w:rPr>
          <w:sz w:val="28"/>
          <w:szCs w:val="28"/>
        </w:rPr>
      </w:pPr>
      <w:r>
        <w:rPr>
          <w:sz w:val="28"/>
          <w:szCs w:val="28"/>
        </w:rPr>
        <w:t xml:space="preserve">5.3.1 </w:t>
      </w:r>
      <w:r w:rsidR="00AB06BA" w:rsidRPr="0001715A">
        <w:rPr>
          <w:sz w:val="28"/>
          <w:szCs w:val="28"/>
        </w:rPr>
        <w:t>Impact on MSW Collection Infrastructure</w:t>
      </w:r>
    </w:p>
    <w:p w:rsidR="00BF0D08" w:rsidRPr="0001715A" w:rsidRDefault="00BF0D08" w:rsidP="00817BAC">
      <w:pPr>
        <w:jc w:val="both"/>
        <w:rPr>
          <w:sz w:val="28"/>
          <w:szCs w:val="28"/>
        </w:rPr>
      </w:pPr>
      <w:r>
        <w:t xml:space="preserve">The new CCNY Development will have a net reduction in solid waste generation due to </w:t>
      </w:r>
      <w:r w:rsidR="00752381">
        <w:t xml:space="preserve">reduction in residents in the project area and </w:t>
      </w:r>
      <w:r>
        <w:t>the lesser amounts of MSW generated by the academic buildings of the project when compared with the commercial waste generated within the project area.  Still, it is useful to quantify the effect of the action on sanitation infrastructure as the city has laid ou</w:t>
      </w:r>
      <w:r w:rsidR="00F87359">
        <w:t xml:space="preserve">t long-term goals regarding MSW </w:t>
      </w:r>
      <w:r>
        <w:t>generation and management</w:t>
      </w:r>
      <w:r w:rsidR="00F87359">
        <w:t xml:space="preserve"> in the SWMP</w:t>
      </w:r>
      <w:r>
        <w:t>.</w:t>
      </w:r>
    </w:p>
    <w:p w:rsidR="00F830B3" w:rsidRDefault="00F830B3" w:rsidP="00817BAC">
      <w:pPr>
        <w:jc w:val="both"/>
      </w:pPr>
      <w:r>
        <w:t>Analysis of the difference in impact of the existing and build conditions on MSW collection infrastructure is as follows, with this note: Typical capacity for commercial trash trucks is given as 12 to 15 tons per truck. Conservatively estimating the build condition suggests maximizing the relative impact of the build condition.  It is therefore reasonable to use the higher capacity of the commercial MSW truck for</w:t>
      </w:r>
      <w:r w:rsidR="00F87359">
        <w:t xml:space="preserve"> existing conditions</w:t>
      </w:r>
      <w:r>
        <w:t xml:space="preserve">. </w:t>
      </w:r>
    </w:p>
    <w:p w:rsidR="00B937C1" w:rsidRDefault="000D1ACD" w:rsidP="00817BAC">
      <w:pPr>
        <w:jc w:val="both"/>
        <w:rPr>
          <w:position w:val="-30"/>
        </w:rPr>
      </w:pPr>
      <w:r w:rsidRPr="00B43149">
        <w:rPr>
          <w:position w:val="-58"/>
        </w:rPr>
        <w:object w:dxaOrig="3620" w:dyaOrig="1320">
          <v:shape id="_x0000_i1049" type="#_x0000_t75" style="width:180.75pt;height:66.75pt" o:ole="">
            <v:imagedata r:id="rId61" o:title=""/>
          </v:shape>
          <o:OLEObject Type="Embed" ProgID="Equation.DSMT4" ShapeID="_x0000_i1049" DrawAspect="Content" ObjectID="_1366547032" r:id="rId62"/>
        </w:object>
      </w:r>
      <w:r w:rsidR="00B43149">
        <w:rPr>
          <w:position w:val="-30"/>
        </w:rPr>
        <w:tab/>
      </w:r>
      <w:r w:rsidR="00B43149">
        <w:rPr>
          <w:position w:val="-30"/>
        </w:rPr>
        <w:tab/>
      </w:r>
      <w:r w:rsidR="00B43149">
        <w:rPr>
          <w:position w:val="-30"/>
        </w:rPr>
        <w:tab/>
      </w:r>
      <w:r w:rsidR="00B43149">
        <w:rPr>
          <w:position w:val="-30"/>
        </w:rPr>
        <w:tab/>
      </w:r>
      <w:r w:rsidR="00B43149">
        <w:rPr>
          <w:position w:val="-30"/>
        </w:rPr>
        <w:tab/>
      </w:r>
      <w:r w:rsidR="00F87359">
        <w:rPr>
          <w:position w:val="-30"/>
        </w:rPr>
        <w:tab/>
      </w:r>
      <w:r w:rsidR="00B43149">
        <w:rPr>
          <w:position w:val="-30"/>
        </w:rPr>
        <w:tab/>
        <w:t>[10]</w:t>
      </w:r>
    </w:p>
    <w:p w:rsidR="00B937C1" w:rsidRDefault="00B937C1" w:rsidP="00817BAC">
      <w:pPr>
        <w:jc w:val="both"/>
      </w:pPr>
      <w:r>
        <w:t xml:space="preserve">There are typically three regular trash pick-ups per week and one recycling pick-up of two types of recyclables in New York City, making </w:t>
      </w:r>
      <w:r w:rsidR="00752381">
        <w:t>five</w:t>
      </w:r>
      <w:r>
        <w:t xml:space="preserve"> the minimum number of truck trips per week.</w:t>
      </w:r>
      <w:r w:rsidR="00F87359">
        <w:t xml:space="preserve"> </w:t>
      </w:r>
      <w:r w:rsidR="00307388">
        <w:t>Equation 10 shows t</w:t>
      </w:r>
      <w:r w:rsidR="00F87359">
        <w:t xml:space="preserve">he existing condition generates more MSW than </w:t>
      </w:r>
      <w:r w:rsidR="00752381">
        <w:t>five</w:t>
      </w:r>
      <w:r w:rsidR="00F87359">
        <w:t xml:space="preserve"> trucks can handle, </w:t>
      </w:r>
      <w:r w:rsidR="00752381">
        <w:t>indicating</w:t>
      </w:r>
      <w:r w:rsidR="00F87359">
        <w:t xml:space="preserve"> that </w:t>
      </w:r>
      <w:r w:rsidR="00752381">
        <w:t xml:space="preserve">four </w:t>
      </w:r>
      <w:r w:rsidR="00F87359">
        <w:t>additional trucks service the area to accommodate the load.</w:t>
      </w:r>
      <w:r w:rsidR="00F0187E">
        <w:t xml:space="preserve"> These 9 truck trips per week from the DSNY fleet would also be responsible for picking up MSW from the elementary school within the project area. The last truck is not at capacity and therefore the additional one ton of MSW per week would not change the calculation. Further, examining the calculation for CSW below, reducing the weight of CSW by one ton does not reduce the required trucks per week.</w:t>
      </w:r>
    </w:p>
    <w:p w:rsidR="00B937C1" w:rsidRDefault="00B937C1" w:rsidP="00817BAC">
      <w:pPr>
        <w:jc w:val="both"/>
      </w:pPr>
      <w:r>
        <w:t>Commercial MSW impact for existing conditions from Eq</w:t>
      </w:r>
      <w:r w:rsidR="00752381">
        <w:t>uation</w:t>
      </w:r>
      <w:r>
        <w:t xml:space="preserve"> </w:t>
      </w:r>
      <w:r w:rsidR="00307388">
        <w:t>11</w:t>
      </w:r>
      <w:r>
        <w:t>:</w:t>
      </w:r>
    </w:p>
    <w:p w:rsidR="00B937C1" w:rsidRPr="004231F2" w:rsidRDefault="004231F2" w:rsidP="00817BAC">
      <w:pPr>
        <w:jc w:val="both"/>
      </w:pPr>
      <w:r w:rsidRPr="004231F2">
        <w:rPr>
          <w:position w:val="-36"/>
        </w:rPr>
        <w:object w:dxaOrig="1860" w:dyaOrig="880">
          <v:shape id="_x0000_i1050" type="#_x0000_t75" style="width:93.75pt;height:44.25pt" o:ole="">
            <v:imagedata r:id="rId63" o:title=""/>
          </v:shape>
          <o:OLEObject Type="Embed" ProgID="Equation.DSMT4" ShapeID="_x0000_i1050" DrawAspect="Content" ObjectID="_1366547033" r:id="rId64"/>
        </w:object>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r>
      <w:r w:rsidR="00F87359" w:rsidRPr="004231F2">
        <w:rPr>
          <w:position w:val="-30"/>
        </w:rPr>
        <w:tab/>
        <w:t>[11]</w:t>
      </w:r>
    </w:p>
    <w:p w:rsidR="00B937C1" w:rsidRDefault="00307388" w:rsidP="00817BAC">
      <w:pPr>
        <w:jc w:val="both"/>
      </w:pPr>
      <w:r>
        <w:t>Commercial</w:t>
      </w:r>
      <w:r w:rsidR="00B937C1">
        <w:t xml:space="preserve"> waste is </w:t>
      </w:r>
      <w:r>
        <w:t>sorted into refuse</w:t>
      </w:r>
      <w:r w:rsidR="00B937C1">
        <w:t xml:space="preserve"> and recyclables </w:t>
      </w:r>
      <w:r>
        <w:t>at sorting facilities, obviating the need for multiple truck types and multiple pick-ups at each location</w:t>
      </w:r>
      <w:r w:rsidR="00B937C1">
        <w:t xml:space="preserve">. </w:t>
      </w:r>
      <w:r>
        <w:t>There is no known set schedule for CSW pickup</w:t>
      </w:r>
      <w:r w:rsidR="00B937C1">
        <w:t>.</w:t>
      </w:r>
    </w:p>
    <w:p w:rsidR="00307388" w:rsidRDefault="00307388" w:rsidP="00817BAC">
      <w:pPr>
        <w:jc w:val="both"/>
      </w:pPr>
      <w:r>
        <w:t>Total existing condition MSW collection infrastructure impact is the sum of commercial</w:t>
      </w:r>
      <w:r w:rsidR="004231F2">
        <w:t xml:space="preserve"> and DSNY infrastructure demand:</w:t>
      </w:r>
      <w:r>
        <w:t xml:space="preserve"> twelve trucks per week.</w:t>
      </w:r>
    </w:p>
    <w:p w:rsidR="00B937C1" w:rsidRDefault="00B937C1" w:rsidP="00817BAC">
      <w:pPr>
        <w:jc w:val="both"/>
      </w:pPr>
      <w:r>
        <w:t xml:space="preserve">Total build condition MSW collection infrastructure impact from Eqn. </w:t>
      </w:r>
      <w:r w:rsidR="00307388">
        <w:t>12</w:t>
      </w:r>
      <w:r>
        <w:t>:</w:t>
      </w:r>
    </w:p>
    <w:p w:rsidR="00B937C1" w:rsidRDefault="00307388" w:rsidP="00817BAC">
      <w:pPr>
        <w:jc w:val="both"/>
      </w:pPr>
      <w:r w:rsidRPr="00F87359">
        <w:rPr>
          <w:position w:val="-32"/>
        </w:rPr>
        <w:object w:dxaOrig="3540" w:dyaOrig="800">
          <v:shape id="_x0000_i1051" type="#_x0000_t75" style="width:178.5pt;height:40.5pt" o:ole="">
            <v:imagedata r:id="rId65" o:title=""/>
          </v:shape>
          <o:OLEObject Type="Embed" ProgID="Equation.DSMT4" ShapeID="_x0000_i1051" DrawAspect="Content" ObjectID="_1366547034" r:id="rId66"/>
        </w:object>
      </w:r>
      <w:r w:rsidR="00F87359">
        <w:rPr>
          <w:position w:val="-30"/>
        </w:rPr>
        <w:tab/>
      </w:r>
      <w:r w:rsidR="00F87359">
        <w:rPr>
          <w:position w:val="-30"/>
        </w:rPr>
        <w:tab/>
      </w:r>
      <w:r w:rsidR="00F87359">
        <w:rPr>
          <w:position w:val="-30"/>
        </w:rPr>
        <w:tab/>
      </w:r>
      <w:r w:rsidR="00F87359">
        <w:rPr>
          <w:position w:val="-30"/>
        </w:rPr>
        <w:tab/>
      </w:r>
      <w:r w:rsidR="00F87359">
        <w:rPr>
          <w:position w:val="-30"/>
        </w:rPr>
        <w:tab/>
      </w:r>
      <w:r w:rsidR="00F87359">
        <w:rPr>
          <w:position w:val="-30"/>
        </w:rPr>
        <w:tab/>
      </w:r>
      <w:r w:rsidR="00F87359">
        <w:rPr>
          <w:position w:val="-30"/>
        </w:rPr>
        <w:tab/>
      </w:r>
      <w:r w:rsidR="00F87359">
        <w:rPr>
          <w:position w:val="-30"/>
        </w:rPr>
        <w:tab/>
        <w:t>[12]</w:t>
      </w:r>
    </w:p>
    <w:p w:rsidR="00307388" w:rsidRDefault="00B937C1" w:rsidP="00817BAC">
      <w:pPr>
        <w:jc w:val="both"/>
      </w:pPr>
      <w:r>
        <w:t>With the previously applied minimum of 5 truck trips per week</w:t>
      </w:r>
      <w:r w:rsidR="00C736BC">
        <w:t xml:space="preserve">, </w:t>
      </w:r>
      <w:r>
        <w:t xml:space="preserve">the </w:t>
      </w:r>
      <w:r w:rsidR="00307388">
        <w:t>build condition impact is 42% of</w:t>
      </w:r>
      <w:r>
        <w:t xml:space="preserve"> the existing condition impact even as the MSW generated is </w:t>
      </w:r>
      <w:r w:rsidR="00307388">
        <w:t>35</w:t>
      </w:r>
      <w:r>
        <w:t>% of the tra</w:t>
      </w:r>
      <w:r w:rsidR="007001CB">
        <w:t>sh generated. Additionally, the</w:t>
      </w:r>
      <w:r>
        <w:t xml:space="preserve"> survey of existing conditions shows 184 buildings and 130 businesses (The City of New York, 2011). Each residential building receives 3 regular trash pickups per week and one pickup each from two types of recyclables truck, for a total of 5 weekly pickups. </w:t>
      </w:r>
      <w:r w:rsidR="00277476">
        <w:t>Using an estimate of</w:t>
      </w:r>
      <w:r>
        <w:t xml:space="preserve"> 3 </w:t>
      </w:r>
      <w:r w:rsidR="00277476">
        <w:t xml:space="preserve">commercial pick-ups </w:t>
      </w:r>
      <w:r>
        <w:t>per week by commercial haulers, who typically sort recyclables</w:t>
      </w:r>
      <w:r w:rsidR="00277476">
        <w:t xml:space="preserve"> after pickup,</w:t>
      </w:r>
      <w:r>
        <w:t xml:space="preserve"> </w:t>
      </w:r>
      <w:r w:rsidR="00277476">
        <w:t>e</w:t>
      </w:r>
      <w:r w:rsidR="00307388">
        <w:t>quation 13 details estimated truck stops per week for the existing condition as:</w:t>
      </w:r>
    </w:p>
    <w:p w:rsidR="00307388" w:rsidRDefault="004231F2" w:rsidP="00817BAC">
      <w:pPr>
        <w:jc w:val="both"/>
      </w:pPr>
      <w:r w:rsidRPr="004231F2">
        <w:rPr>
          <w:rFonts w:eastAsiaTheme="minorEastAsia"/>
          <w:position w:val="-12"/>
        </w:rPr>
        <w:object w:dxaOrig="5040" w:dyaOrig="380">
          <v:shape id="_x0000_i1052" type="#_x0000_t75" style="width:252pt;height:18.75pt" o:ole="">
            <v:imagedata r:id="rId67" o:title=""/>
          </v:shape>
          <o:OLEObject Type="Embed" ProgID="Equation.DSMT4" ShapeID="_x0000_i1052" DrawAspect="Content" ObjectID="_1366547035" r:id="rId68"/>
        </w:object>
      </w:r>
      <w:r w:rsidR="00307388">
        <w:rPr>
          <w:rFonts w:eastAsiaTheme="minorEastAsia"/>
        </w:rPr>
        <w:tab/>
      </w:r>
      <w:r w:rsidR="00307388">
        <w:rPr>
          <w:rFonts w:eastAsiaTheme="minorEastAsia"/>
        </w:rPr>
        <w:tab/>
      </w:r>
      <w:r w:rsidR="00307388">
        <w:rPr>
          <w:rFonts w:eastAsiaTheme="minorEastAsia"/>
        </w:rPr>
        <w:tab/>
      </w:r>
      <w:r w:rsidR="00307388">
        <w:rPr>
          <w:rFonts w:eastAsiaTheme="minorEastAsia"/>
        </w:rPr>
        <w:tab/>
      </w:r>
      <w:r w:rsidR="00307388">
        <w:rPr>
          <w:rFonts w:eastAsiaTheme="minorEastAsia"/>
        </w:rPr>
        <w:tab/>
        <w:t>[13]</w:t>
      </w:r>
    </w:p>
    <w:p w:rsidR="009C2241" w:rsidRPr="009C2241" w:rsidRDefault="00B937C1" w:rsidP="009C2241">
      <w:pPr>
        <w:jc w:val="both"/>
      </w:pPr>
      <w:r>
        <w:t xml:space="preserve">The build condition includes 6 buildings which are all part of one institution. With the infrastructure consolidation typical of CCNY (where most or all of the campus MSW is put through one facility in the NAC), one could easily imagine one pickup per truck trip, a significant reduction in truck time on the street. </w:t>
      </w:r>
      <w:r w:rsidR="00930BAB">
        <w:t>Using t</w:t>
      </w:r>
      <w:r>
        <w:t xml:space="preserve">he </w:t>
      </w:r>
      <w:r w:rsidR="00930BAB">
        <w:t>conservative estimate of</w:t>
      </w:r>
      <w:r>
        <w:t xml:space="preserve"> one pick-up per</w:t>
      </w:r>
      <w:r w:rsidR="00930BAB">
        <w:t xml:space="preserve"> project building</w:t>
      </w:r>
      <w:r w:rsidR="00277476">
        <w:t xml:space="preserve"> per pick-up day</w:t>
      </w:r>
      <w:r w:rsidR="00930BAB">
        <w:t xml:space="preserve"> results in 30 stops per week.</w:t>
      </w:r>
      <w:r>
        <w:t xml:space="preserve"> These r</w:t>
      </w:r>
      <w:r w:rsidR="00930BAB">
        <w:t>esults are summarized in Table 4, which shows that the build condition will result in seven fewer truck trips per week and a remarkable 1280 fewer MSW pick-ups per week</w:t>
      </w:r>
      <w:r w:rsidR="007D6C29">
        <w:t>.</w:t>
      </w:r>
      <w:bookmarkStart w:id="41" w:name="_Toc292580399"/>
    </w:p>
    <w:p w:rsidR="007D6C29" w:rsidRPr="007D6C29" w:rsidRDefault="007D6C29" w:rsidP="007D6C29">
      <w:pPr>
        <w:pStyle w:val="Caption"/>
        <w:rPr>
          <w:b w:val="0"/>
          <w:color w:val="auto"/>
          <w:sz w:val="22"/>
          <w:szCs w:val="22"/>
        </w:rPr>
      </w:pPr>
      <w:r w:rsidRPr="007D6C29">
        <w:rPr>
          <w:b w:val="0"/>
          <w:color w:val="auto"/>
          <w:sz w:val="22"/>
          <w:szCs w:val="22"/>
        </w:rPr>
        <w:t xml:space="preserve">Table </w:t>
      </w:r>
      <w:r w:rsidRPr="007D6C29">
        <w:rPr>
          <w:b w:val="0"/>
          <w:color w:val="auto"/>
          <w:sz w:val="22"/>
          <w:szCs w:val="22"/>
        </w:rPr>
        <w:fldChar w:fldCharType="begin"/>
      </w:r>
      <w:r w:rsidRPr="007D6C29">
        <w:rPr>
          <w:b w:val="0"/>
          <w:color w:val="auto"/>
          <w:sz w:val="22"/>
          <w:szCs w:val="22"/>
        </w:rPr>
        <w:instrText xml:space="preserve"> SEQ Table \* ARABIC </w:instrText>
      </w:r>
      <w:r w:rsidRPr="007D6C29">
        <w:rPr>
          <w:b w:val="0"/>
          <w:color w:val="auto"/>
          <w:sz w:val="22"/>
          <w:szCs w:val="22"/>
        </w:rPr>
        <w:fldChar w:fldCharType="separate"/>
      </w:r>
      <w:r w:rsidR="00DD0A90">
        <w:rPr>
          <w:b w:val="0"/>
          <w:noProof/>
          <w:color w:val="auto"/>
          <w:sz w:val="22"/>
          <w:szCs w:val="22"/>
        </w:rPr>
        <w:t>4</w:t>
      </w:r>
      <w:r w:rsidRPr="007D6C29">
        <w:rPr>
          <w:b w:val="0"/>
          <w:color w:val="auto"/>
          <w:sz w:val="22"/>
          <w:szCs w:val="22"/>
        </w:rPr>
        <w:fldChar w:fldCharType="end"/>
      </w:r>
      <w:r w:rsidRPr="007D6C29">
        <w:rPr>
          <w:b w:val="0"/>
          <w:color w:val="auto"/>
          <w:sz w:val="22"/>
          <w:szCs w:val="22"/>
        </w:rPr>
        <w:t>: Existing versus build condition MSW collection infrastructure impact</w:t>
      </w:r>
      <w:bookmarkEnd w:id="41"/>
    </w:p>
    <w:tbl>
      <w:tblPr>
        <w:tblW w:w="6280" w:type="dxa"/>
        <w:jc w:val="center"/>
        <w:tblInd w:w="93" w:type="dxa"/>
        <w:tblLook w:val="04A0" w:firstRow="1" w:lastRow="0" w:firstColumn="1" w:lastColumn="0" w:noHBand="0" w:noVBand="1"/>
      </w:tblPr>
      <w:tblGrid>
        <w:gridCol w:w="1300"/>
        <w:gridCol w:w="1140"/>
        <w:gridCol w:w="1085"/>
        <w:gridCol w:w="1170"/>
        <w:gridCol w:w="1298"/>
        <w:gridCol w:w="1163"/>
      </w:tblGrid>
      <w:tr w:rsidR="00B937C1" w:rsidRPr="00650C0A" w:rsidTr="00817BAC">
        <w:trPr>
          <w:trHeight w:val="375"/>
          <w:jc w:val="center"/>
        </w:trPr>
        <w:tc>
          <w:tcPr>
            <w:tcW w:w="1300" w:type="dxa"/>
            <w:tcBorders>
              <w:top w:val="single" w:sz="4" w:space="0" w:color="auto"/>
              <w:left w:val="single" w:sz="4" w:space="0" w:color="auto"/>
              <w:bottom w:val="single" w:sz="8" w:space="0" w:color="auto"/>
              <w:right w:val="nil"/>
            </w:tcBorders>
            <w:shd w:val="clear" w:color="auto" w:fill="auto"/>
            <w:noWrap/>
            <w:vAlign w:val="center"/>
            <w:hideMark/>
          </w:tcPr>
          <w:p w:rsidR="00B937C1" w:rsidRPr="00650C0A" w:rsidRDefault="00B937C1" w:rsidP="000A0387">
            <w:pPr>
              <w:jc w:val="center"/>
              <w:rPr>
                <w:rFonts w:ascii="Calibri" w:eastAsia="Times New Roman" w:hAnsi="Calibri" w:cs="Calibri"/>
                <w:b/>
                <w:bCs/>
                <w:color w:val="000000"/>
              </w:rPr>
            </w:pPr>
            <w:r w:rsidRPr="00650C0A">
              <w:rPr>
                <w:rFonts w:ascii="Calibri" w:eastAsia="Times New Roman" w:hAnsi="Calibri" w:cs="Calibri"/>
                <w:b/>
                <w:bCs/>
                <w:color w:val="000000"/>
              </w:rPr>
              <w:t>CONDITION</w:t>
            </w:r>
          </w:p>
        </w:tc>
        <w:tc>
          <w:tcPr>
            <w:tcW w:w="1140" w:type="dxa"/>
            <w:tcBorders>
              <w:top w:val="single" w:sz="4" w:space="0" w:color="auto"/>
              <w:left w:val="nil"/>
              <w:bottom w:val="single" w:sz="8" w:space="0" w:color="auto"/>
              <w:right w:val="nil"/>
            </w:tcBorders>
            <w:shd w:val="clear" w:color="auto" w:fill="auto"/>
            <w:noWrap/>
            <w:vAlign w:val="center"/>
            <w:hideMark/>
          </w:tcPr>
          <w:p w:rsidR="00B937C1" w:rsidRPr="00650C0A" w:rsidRDefault="00B937C1" w:rsidP="000C6487">
            <w:pPr>
              <w:jc w:val="center"/>
              <w:rPr>
                <w:rFonts w:ascii="Calibri" w:eastAsia="Times New Roman" w:hAnsi="Calibri" w:cs="Calibri"/>
                <w:b/>
                <w:bCs/>
                <w:color w:val="000000"/>
              </w:rPr>
            </w:pPr>
            <w:r w:rsidRPr="00650C0A">
              <w:rPr>
                <w:rFonts w:ascii="Calibri" w:eastAsia="Times New Roman" w:hAnsi="Calibri" w:cs="Calibri"/>
                <w:b/>
                <w:bCs/>
                <w:color w:val="000000"/>
              </w:rPr>
              <w:t>MSW</w:t>
            </w:r>
            <w:r w:rsidR="000C6487">
              <w:rPr>
                <w:rFonts w:ascii="Calibri" w:eastAsia="Times New Roman" w:hAnsi="Calibri" w:cs="Calibri"/>
                <w:b/>
                <w:bCs/>
                <w:color w:val="000000"/>
                <w:vertAlign w:val="subscript"/>
              </w:rPr>
              <w:t>R</w:t>
            </w:r>
            <w:r>
              <w:rPr>
                <w:rFonts w:ascii="Calibri" w:eastAsia="Times New Roman" w:hAnsi="Calibri" w:cs="Calibri"/>
                <w:b/>
                <w:bCs/>
                <w:color w:val="000000"/>
              </w:rPr>
              <w:t xml:space="preserve"> </w:t>
            </w:r>
            <w:r w:rsidR="000C6487">
              <w:rPr>
                <w:rFonts w:ascii="Calibri" w:eastAsia="Times New Roman" w:hAnsi="Calibri" w:cs="Calibri"/>
                <w:bCs/>
                <w:color w:val="000000"/>
              </w:rPr>
              <w:t>(T/wk</w:t>
            </w:r>
            <w:r w:rsidRPr="00650C0A">
              <w:rPr>
                <w:rFonts w:ascii="Calibri" w:eastAsia="Times New Roman" w:hAnsi="Calibri" w:cs="Calibri"/>
                <w:bCs/>
                <w:color w:val="000000"/>
              </w:rPr>
              <w:t>)</w:t>
            </w:r>
          </w:p>
        </w:tc>
        <w:tc>
          <w:tcPr>
            <w:tcW w:w="1085" w:type="dxa"/>
            <w:tcBorders>
              <w:top w:val="single" w:sz="4" w:space="0" w:color="auto"/>
              <w:left w:val="nil"/>
              <w:bottom w:val="single" w:sz="8" w:space="0" w:color="auto"/>
              <w:right w:val="nil"/>
            </w:tcBorders>
            <w:shd w:val="clear" w:color="auto" w:fill="auto"/>
            <w:noWrap/>
            <w:vAlign w:val="center"/>
            <w:hideMark/>
          </w:tcPr>
          <w:p w:rsidR="00B937C1" w:rsidRPr="00650C0A" w:rsidRDefault="000C6487" w:rsidP="000C6487">
            <w:pPr>
              <w:jc w:val="center"/>
              <w:rPr>
                <w:rFonts w:ascii="Calibri" w:eastAsia="Times New Roman" w:hAnsi="Calibri" w:cs="Calibri"/>
                <w:b/>
                <w:bCs/>
                <w:color w:val="000000"/>
              </w:rPr>
            </w:pPr>
            <w:r>
              <w:rPr>
                <w:rFonts w:ascii="Calibri" w:eastAsia="Times New Roman" w:hAnsi="Calibri" w:cs="Calibri"/>
                <w:b/>
                <w:bCs/>
                <w:color w:val="000000"/>
              </w:rPr>
              <w:t>CSW or MSW</w:t>
            </w:r>
            <w:r>
              <w:rPr>
                <w:rFonts w:ascii="Calibri" w:eastAsia="Times New Roman" w:hAnsi="Calibri" w:cs="Calibri"/>
                <w:b/>
                <w:bCs/>
                <w:color w:val="000000"/>
                <w:vertAlign w:val="subscript"/>
              </w:rPr>
              <w:t>BA</w:t>
            </w:r>
            <w:r w:rsidR="00B937C1">
              <w:rPr>
                <w:rFonts w:ascii="Calibri" w:eastAsia="Times New Roman" w:hAnsi="Calibri" w:cs="Calibri"/>
                <w:b/>
                <w:bCs/>
                <w:color w:val="000000"/>
              </w:rPr>
              <w:t xml:space="preserve"> </w:t>
            </w:r>
            <w:r>
              <w:rPr>
                <w:rFonts w:ascii="Calibri" w:eastAsia="Times New Roman" w:hAnsi="Calibri" w:cs="Calibri"/>
                <w:bCs/>
                <w:color w:val="000000"/>
              </w:rPr>
              <w:t>(T/wk</w:t>
            </w:r>
            <w:r w:rsidR="00B937C1" w:rsidRPr="00650C0A">
              <w:rPr>
                <w:rFonts w:ascii="Calibri" w:eastAsia="Times New Roman" w:hAnsi="Calibri" w:cs="Calibri"/>
                <w:bCs/>
                <w:color w:val="000000"/>
              </w:rPr>
              <w:t>)</w:t>
            </w:r>
          </w:p>
        </w:tc>
        <w:tc>
          <w:tcPr>
            <w:tcW w:w="1170" w:type="dxa"/>
            <w:tcBorders>
              <w:top w:val="single" w:sz="4" w:space="0" w:color="auto"/>
              <w:left w:val="nil"/>
              <w:bottom w:val="single" w:sz="8" w:space="0" w:color="auto"/>
              <w:right w:val="nil"/>
            </w:tcBorders>
            <w:shd w:val="clear" w:color="auto" w:fill="auto"/>
            <w:noWrap/>
            <w:vAlign w:val="center"/>
            <w:hideMark/>
          </w:tcPr>
          <w:p w:rsidR="00B937C1" w:rsidRPr="00650C0A" w:rsidRDefault="00B937C1" w:rsidP="000A0387">
            <w:pPr>
              <w:jc w:val="center"/>
              <w:rPr>
                <w:rFonts w:ascii="Calibri" w:eastAsia="Times New Roman" w:hAnsi="Calibri" w:cs="Calibri"/>
                <w:b/>
                <w:bCs/>
                <w:color w:val="000000"/>
              </w:rPr>
            </w:pPr>
            <w:r w:rsidRPr="00650C0A">
              <w:rPr>
                <w:rFonts w:ascii="Calibri" w:eastAsia="Times New Roman" w:hAnsi="Calibri" w:cs="Calibri"/>
                <w:b/>
                <w:bCs/>
                <w:color w:val="000000"/>
              </w:rPr>
              <w:t>MSWt</w:t>
            </w:r>
            <w:r>
              <w:rPr>
                <w:rFonts w:ascii="Calibri" w:eastAsia="Times New Roman" w:hAnsi="Calibri" w:cs="Calibri"/>
                <w:bCs/>
                <w:color w:val="000000"/>
              </w:rPr>
              <w:t xml:space="preserve"> (</w:t>
            </w:r>
            <w:r w:rsidR="000C6487">
              <w:rPr>
                <w:rFonts w:ascii="Calibri" w:eastAsia="Times New Roman" w:hAnsi="Calibri" w:cs="Calibri"/>
                <w:bCs/>
                <w:color w:val="000000"/>
              </w:rPr>
              <w:t>T/wk</w:t>
            </w:r>
            <w:r w:rsidRPr="00650C0A">
              <w:rPr>
                <w:rFonts w:ascii="Calibri" w:eastAsia="Times New Roman" w:hAnsi="Calibri" w:cs="Calibri"/>
                <w:bCs/>
                <w:color w:val="000000"/>
              </w:rPr>
              <w:t>)</w:t>
            </w:r>
          </w:p>
        </w:tc>
        <w:tc>
          <w:tcPr>
            <w:tcW w:w="625" w:type="dxa"/>
            <w:tcBorders>
              <w:top w:val="single" w:sz="4" w:space="0" w:color="auto"/>
              <w:left w:val="nil"/>
              <w:bottom w:val="single" w:sz="8" w:space="0" w:color="auto"/>
              <w:right w:val="nil"/>
            </w:tcBorders>
            <w:shd w:val="clear" w:color="auto" w:fill="auto"/>
            <w:noWrap/>
            <w:vAlign w:val="center"/>
            <w:hideMark/>
          </w:tcPr>
          <w:p w:rsidR="00B937C1" w:rsidRPr="00650C0A" w:rsidRDefault="00B937C1" w:rsidP="000A0387">
            <w:pPr>
              <w:jc w:val="center"/>
              <w:rPr>
                <w:rFonts w:ascii="Calibri" w:eastAsia="Times New Roman" w:hAnsi="Calibri" w:cs="Calibri"/>
                <w:b/>
                <w:bCs/>
                <w:color w:val="000000"/>
              </w:rPr>
            </w:pPr>
            <w:r w:rsidRPr="00650C0A">
              <w:rPr>
                <w:rFonts w:ascii="Calibri" w:eastAsia="Times New Roman" w:hAnsi="Calibri" w:cs="Calibri"/>
                <w:b/>
                <w:bCs/>
                <w:color w:val="000000"/>
              </w:rPr>
              <w:t>TRUCKS</w:t>
            </w:r>
            <w:r w:rsidR="000C6487">
              <w:rPr>
                <w:rFonts w:ascii="Calibri" w:eastAsia="Times New Roman" w:hAnsi="Calibri" w:cs="Calibri"/>
                <w:b/>
                <w:bCs/>
                <w:color w:val="000000"/>
              </w:rPr>
              <w:t>/wk</w:t>
            </w:r>
          </w:p>
        </w:tc>
        <w:tc>
          <w:tcPr>
            <w:tcW w:w="960" w:type="dxa"/>
            <w:tcBorders>
              <w:top w:val="single" w:sz="4" w:space="0" w:color="auto"/>
              <w:left w:val="nil"/>
              <w:bottom w:val="single" w:sz="8" w:space="0" w:color="auto"/>
              <w:right w:val="single" w:sz="4" w:space="0" w:color="auto"/>
            </w:tcBorders>
            <w:shd w:val="clear" w:color="auto" w:fill="auto"/>
            <w:noWrap/>
            <w:vAlign w:val="center"/>
            <w:hideMark/>
          </w:tcPr>
          <w:p w:rsidR="00B937C1" w:rsidRPr="00650C0A" w:rsidRDefault="00B937C1" w:rsidP="000A0387">
            <w:pPr>
              <w:jc w:val="center"/>
              <w:rPr>
                <w:rFonts w:ascii="Calibri" w:eastAsia="Times New Roman" w:hAnsi="Calibri" w:cs="Calibri"/>
                <w:b/>
                <w:bCs/>
                <w:color w:val="000000"/>
              </w:rPr>
            </w:pPr>
            <w:r w:rsidRPr="00650C0A">
              <w:rPr>
                <w:rFonts w:ascii="Calibri" w:eastAsia="Times New Roman" w:hAnsi="Calibri" w:cs="Calibri"/>
                <w:b/>
                <w:bCs/>
                <w:color w:val="000000"/>
              </w:rPr>
              <w:t>STOPS</w:t>
            </w:r>
            <w:r w:rsidR="000C6487">
              <w:rPr>
                <w:rFonts w:ascii="Calibri" w:eastAsia="Times New Roman" w:hAnsi="Calibri" w:cs="Calibri"/>
                <w:b/>
                <w:bCs/>
                <w:color w:val="000000"/>
              </w:rPr>
              <w:t>/wk</w:t>
            </w:r>
          </w:p>
        </w:tc>
      </w:tr>
      <w:tr w:rsidR="00B937C1" w:rsidRPr="00650C0A" w:rsidTr="00817BAC">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937C1" w:rsidRPr="00650C0A" w:rsidRDefault="00B937C1" w:rsidP="000A0387">
            <w:pPr>
              <w:rPr>
                <w:rFonts w:ascii="Calibri" w:eastAsia="Times New Roman" w:hAnsi="Calibri" w:cs="Calibri"/>
                <w:color w:val="000000"/>
              </w:rPr>
            </w:pPr>
            <w:r w:rsidRPr="00650C0A">
              <w:rPr>
                <w:rFonts w:ascii="Calibri" w:eastAsia="Times New Roman" w:hAnsi="Calibri" w:cs="Calibri"/>
                <w:color w:val="000000"/>
              </w:rPr>
              <w:t>Existing</w:t>
            </w:r>
          </w:p>
        </w:tc>
        <w:tc>
          <w:tcPr>
            <w:tcW w:w="1140" w:type="dxa"/>
            <w:tcBorders>
              <w:top w:val="nil"/>
              <w:left w:val="nil"/>
              <w:bottom w:val="single" w:sz="4" w:space="0" w:color="auto"/>
              <w:right w:val="single" w:sz="4" w:space="0" w:color="auto"/>
            </w:tcBorders>
            <w:shd w:val="clear" w:color="auto" w:fill="auto"/>
            <w:noWrap/>
            <w:vAlign w:val="bottom"/>
            <w:hideMark/>
          </w:tcPr>
          <w:p w:rsidR="00B937C1" w:rsidRPr="00650C0A" w:rsidRDefault="000C6487" w:rsidP="000A0387">
            <w:pPr>
              <w:jc w:val="right"/>
              <w:rPr>
                <w:rFonts w:ascii="Calibri" w:eastAsia="Times New Roman" w:hAnsi="Calibri" w:cs="Calibri"/>
                <w:color w:val="000000"/>
              </w:rPr>
            </w:pPr>
            <w:r>
              <w:rPr>
                <w:rFonts w:ascii="Calibri" w:eastAsia="Times New Roman" w:hAnsi="Calibri" w:cs="Calibri"/>
                <w:color w:val="000000"/>
              </w:rPr>
              <w:t>85.4</w:t>
            </w:r>
          </w:p>
        </w:tc>
        <w:tc>
          <w:tcPr>
            <w:tcW w:w="1085"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sidRPr="00650C0A">
              <w:rPr>
                <w:rFonts w:ascii="Calibri" w:eastAsia="Times New Roman" w:hAnsi="Calibri" w:cs="Calibri"/>
                <w:color w:val="000000"/>
              </w:rPr>
              <w:t>39</w:t>
            </w:r>
          </w:p>
        </w:tc>
        <w:tc>
          <w:tcPr>
            <w:tcW w:w="1170" w:type="dxa"/>
            <w:tcBorders>
              <w:top w:val="nil"/>
              <w:left w:val="nil"/>
              <w:bottom w:val="single" w:sz="4" w:space="0" w:color="auto"/>
              <w:right w:val="single" w:sz="4" w:space="0" w:color="auto"/>
            </w:tcBorders>
            <w:shd w:val="clear" w:color="auto" w:fill="auto"/>
            <w:noWrap/>
            <w:vAlign w:val="bottom"/>
            <w:hideMark/>
          </w:tcPr>
          <w:p w:rsidR="00B937C1" w:rsidRPr="00650C0A" w:rsidRDefault="000C6487" w:rsidP="000A0387">
            <w:pPr>
              <w:jc w:val="right"/>
              <w:rPr>
                <w:rFonts w:ascii="Calibri" w:eastAsia="Times New Roman" w:hAnsi="Calibri" w:cs="Calibri"/>
                <w:color w:val="000000"/>
              </w:rPr>
            </w:pPr>
            <w:r>
              <w:rPr>
                <w:rFonts w:ascii="Calibri" w:eastAsia="Times New Roman" w:hAnsi="Calibri" w:cs="Calibri"/>
                <w:color w:val="000000"/>
              </w:rPr>
              <w:t>124.4</w:t>
            </w:r>
          </w:p>
        </w:tc>
        <w:tc>
          <w:tcPr>
            <w:tcW w:w="625"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C6487">
            <w:pPr>
              <w:jc w:val="right"/>
              <w:rPr>
                <w:rFonts w:ascii="Calibri" w:eastAsia="Times New Roman" w:hAnsi="Calibri" w:cs="Calibri"/>
                <w:color w:val="000000"/>
              </w:rPr>
            </w:pPr>
            <w:r w:rsidRPr="00650C0A">
              <w:rPr>
                <w:rFonts w:ascii="Calibri" w:eastAsia="Times New Roman" w:hAnsi="Calibri" w:cs="Calibri"/>
                <w:color w:val="000000"/>
              </w:rPr>
              <w:t>1</w:t>
            </w:r>
            <w:r w:rsidR="000C6487">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Pr>
                <w:rFonts w:ascii="Calibri" w:eastAsia="Times New Roman" w:hAnsi="Calibri" w:cs="Calibri"/>
                <w:color w:val="000000"/>
              </w:rPr>
              <w:t>1310</w:t>
            </w:r>
          </w:p>
        </w:tc>
      </w:tr>
      <w:tr w:rsidR="00B937C1" w:rsidRPr="00650C0A" w:rsidTr="00817BAC">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937C1" w:rsidRPr="00650C0A" w:rsidRDefault="00B937C1" w:rsidP="000A0387">
            <w:pPr>
              <w:rPr>
                <w:rFonts w:ascii="Calibri" w:eastAsia="Times New Roman" w:hAnsi="Calibri" w:cs="Calibri"/>
                <w:color w:val="000000"/>
              </w:rPr>
            </w:pPr>
            <w:r w:rsidRPr="00650C0A">
              <w:rPr>
                <w:rFonts w:ascii="Calibri" w:eastAsia="Times New Roman" w:hAnsi="Calibri" w:cs="Calibri"/>
                <w:color w:val="000000"/>
              </w:rPr>
              <w:t>Build</w:t>
            </w:r>
          </w:p>
        </w:tc>
        <w:tc>
          <w:tcPr>
            <w:tcW w:w="1140"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sidRPr="00650C0A">
              <w:rPr>
                <w:rFonts w:ascii="Calibri" w:eastAsia="Times New Roman" w:hAnsi="Calibri" w:cs="Calibri"/>
                <w:color w:val="000000"/>
              </w:rPr>
              <w:t>15</w:t>
            </w:r>
          </w:p>
        </w:tc>
        <w:tc>
          <w:tcPr>
            <w:tcW w:w="1085" w:type="dxa"/>
            <w:tcBorders>
              <w:top w:val="nil"/>
              <w:left w:val="nil"/>
              <w:bottom w:val="single" w:sz="4" w:space="0" w:color="auto"/>
              <w:right w:val="single" w:sz="4" w:space="0" w:color="auto"/>
            </w:tcBorders>
            <w:shd w:val="clear" w:color="auto" w:fill="auto"/>
            <w:noWrap/>
            <w:vAlign w:val="bottom"/>
            <w:hideMark/>
          </w:tcPr>
          <w:p w:rsidR="00B937C1" w:rsidRPr="00650C0A" w:rsidRDefault="000C6487" w:rsidP="000A0387">
            <w:pPr>
              <w:jc w:val="right"/>
              <w:rPr>
                <w:rFonts w:ascii="Calibri" w:eastAsia="Times New Roman" w:hAnsi="Calibri" w:cs="Calibri"/>
                <w:color w:val="000000"/>
              </w:rPr>
            </w:pPr>
            <w:r>
              <w:rPr>
                <w:rFonts w:ascii="Calibri" w:eastAsia="Times New Roman" w:hAnsi="Calibri" w:cs="Calibri"/>
                <w:color w:val="000000"/>
              </w:rPr>
              <w:t>28.2</w:t>
            </w:r>
          </w:p>
        </w:tc>
        <w:tc>
          <w:tcPr>
            <w:tcW w:w="1170" w:type="dxa"/>
            <w:tcBorders>
              <w:top w:val="nil"/>
              <w:left w:val="nil"/>
              <w:bottom w:val="single" w:sz="4" w:space="0" w:color="auto"/>
              <w:right w:val="single" w:sz="4" w:space="0" w:color="auto"/>
            </w:tcBorders>
            <w:shd w:val="clear" w:color="auto" w:fill="auto"/>
            <w:noWrap/>
            <w:vAlign w:val="bottom"/>
            <w:hideMark/>
          </w:tcPr>
          <w:p w:rsidR="00B937C1" w:rsidRPr="00650C0A" w:rsidRDefault="000C6487" w:rsidP="000C6487">
            <w:pPr>
              <w:jc w:val="right"/>
              <w:rPr>
                <w:rFonts w:ascii="Calibri" w:eastAsia="Times New Roman" w:hAnsi="Calibri" w:cs="Calibri"/>
                <w:color w:val="000000"/>
              </w:rPr>
            </w:pPr>
            <w:r>
              <w:rPr>
                <w:rFonts w:ascii="Calibri" w:eastAsia="Times New Roman" w:hAnsi="Calibri" w:cs="Calibri"/>
                <w:color w:val="000000"/>
              </w:rPr>
              <w:t>43.2</w:t>
            </w:r>
          </w:p>
        </w:tc>
        <w:tc>
          <w:tcPr>
            <w:tcW w:w="625"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sidRPr="00650C0A">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Pr>
                <w:rFonts w:ascii="Calibri" w:eastAsia="Times New Roman" w:hAnsi="Calibri" w:cs="Calibri"/>
                <w:color w:val="000000"/>
              </w:rPr>
              <w:t>30</w:t>
            </w:r>
          </w:p>
        </w:tc>
      </w:tr>
      <w:tr w:rsidR="00B937C1" w:rsidRPr="00650C0A" w:rsidTr="00817BAC">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937C1" w:rsidRPr="00650C0A" w:rsidRDefault="00B937C1" w:rsidP="000A0387">
            <w:pPr>
              <w:rPr>
                <w:rFonts w:ascii="Calibri" w:eastAsia="Times New Roman" w:hAnsi="Calibri" w:cs="Calibri"/>
                <w:color w:val="000000"/>
              </w:rPr>
            </w:pPr>
            <w:r w:rsidRPr="00650C0A">
              <w:rPr>
                <w:rFonts w:ascii="Calibri" w:eastAsia="Times New Roman" w:hAnsi="Calibri" w:cs="Calibri"/>
                <w:color w:val="000000"/>
              </w:rPr>
              <w:t>% Change</w:t>
            </w:r>
          </w:p>
        </w:tc>
        <w:tc>
          <w:tcPr>
            <w:tcW w:w="1140" w:type="dxa"/>
            <w:tcBorders>
              <w:top w:val="nil"/>
              <w:left w:val="nil"/>
              <w:bottom w:val="single" w:sz="4" w:space="0" w:color="auto"/>
              <w:right w:val="single" w:sz="4" w:space="0" w:color="auto"/>
            </w:tcBorders>
            <w:shd w:val="clear" w:color="auto" w:fill="auto"/>
            <w:noWrap/>
            <w:vAlign w:val="bottom"/>
            <w:hideMark/>
          </w:tcPr>
          <w:p w:rsidR="00B937C1" w:rsidRPr="00650C0A" w:rsidRDefault="000C6487" w:rsidP="000A0387">
            <w:pPr>
              <w:jc w:val="right"/>
              <w:rPr>
                <w:rFonts w:ascii="Calibri" w:eastAsia="Times New Roman" w:hAnsi="Calibri" w:cs="Calibri"/>
                <w:color w:val="000000"/>
              </w:rPr>
            </w:pPr>
            <w:r>
              <w:rPr>
                <w:rFonts w:ascii="Calibri" w:eastAsia="Times New Roman" w:hAnsi="Calibri" w:cs="Calibri"/>
                <w:color w:val="000000"/>
              </w:rPr>
              <w:t>-82.4</w:t>
            </w:r>
          </w:p>
        </w:tc>
        <w:tc>
          <w:tcPr>
            <w:tcW w:w="1085"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C6487">
            <w:pPr>
              <w:jc w:val="right"/>
              <w:rPr>
                <w:rFonts w:ascii="Calibri" w:eastAsia="Times New Roman" w:hAnsi="Calibri" w:cs="Calibri"/>
                <w:color w:val="000000"/>
              </w:rPr>
            </w:pPr>
            <w:r w:rsidRPr="00650C0A">
              <w:rPr>
                <w:rFonts w:ascii="Calibri" w:eastAsia="Times New Roman" w:hAnsi="Calibri" w:cs="Calibri"/>
                <w:color w:val="000000"/>
              </w:rPr>
              <w:t>-</w:t>
            </w:r>
            <w:r w:rsidR="000C6487">
              <w:rPr>
                <w:rFonts w:ascii="Calibri" w:eastAsia="Times New Roman" w:hAnsi="Calibri" w:cs="Calibri"/>
                <w:color w:val="000000"/>
              </w:rPr>
              <w:t>27</w:t>
            </w:r>
            <w:r w:rsidRPr="00650C0A">
              <w:rPr>
                <w:rFonts w:ascii="Calibri" w:eastAsia="Times New Roman" w:hAnsi="Calibri" w:cs="Calibri"/>
                <w:color w:val="000000"/>
              </w:rPr>
              <w:t>.</w:t>
            </w:r>
            <w:r w:rsidR="000C6487">
              <w:rPr>
                <w:rFonts w:ascii="Calibri" w:eastAsia="Times New Roman" w:hAnsi="Calibri" w:cs="Calibri"/>
                <w:color w:val="000000"/>
              </w:rPr>
              <w:t>7</w:t>
            </w:r>
          </w:p>
        </w:tc>
        <w:tc>
          <w:tcPr>
            <w:tcW w:w="1170"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C6487">
            <w:pPr>
              <w:jc w:val="right"/>
              <w:rPr>
                <w:rFonts w:ascii="Calibri" w:eastAsia="Times New Roman" w:hAnsi="Calibri" w:cs="Calibri"/>
                <w:color w:val="000000"/>
              </w:rPr>
            </w:pPr>
            <w:r w:rsidRPr="00650C0A">
              <w:rPr>
                <w:rFonts w:ascii="Calibri" w:eastAsia="Times New Roman" w:hAnsi="Calibri" w:cs="Calibri"/>
                <w:color w:val="000000"/>
              </w:rPr>
              <w:t>-</w:t>
            </w:r>
            <w:r w:rsidR="000C6487">
              <w:rPr>
                <w:rFonts w:ascii="Calibri" w:eastAsia="Times New Roman" w:hAnsi="Calibri" w:cs="Calibri"/>
                <w:color w:val="000000"/>
              </w:rPr>
              <w:t>65</w:t>
            </w:r>
            <w:r w:rsidRPr="00650C0A">
              <w:rPr>
                <w:rFonts w:ascii="Calibri" w:eastAsia="Times New Roman" w:hAnsi="Calibri" w:cs="Calibri"/>
                <w:color w:val="000000"/>
              </w:rPr>
              <w:t>.</w:t>
            </w:r>
            <w:r w:rsidR="000C6487">
              <w:rPr>
                <w:rFonts w:ascii="Calibri" w:eastAsia="Times New Roman" w:hAnsi="Calibri" w:cs="Calibri"/>
                <w:color w:val="000000"/>
              </w:rPr>
              <w:t>2</w:t>
            </w:r>
          </w:p>
        </w:tc>
        <w:tc>
          <w:tcPr>
            <w:tcW w:w="625"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C6487">
            <w:pPr>
              <w:jc w:val="right"/>
              <w:rPr>
                <w:rFonts w:ascii="Calibri" w:eastAsia="Times New Roman" w:hAnsi="Calibri" w:cs="Calibri"/>
                <w:color w:val="000000"/>
              </w:rPr>
            </w:pPr>
            <w:r w:rsidRPr="00650C0A">
              <w:rPr>
                <w:rFonts w:ascii="Calibri" w:eastAsia="Times New Roman" w:hAnsi="Calibri" w:cs="Calibri"/>
                <w:color w:val="000000"/>
              </w:rPr>
              <w:t>-5</w:t>
            </w:r>
            <w:r w:rsidR="000C6487">
              <w:rPr>
                <w:rFonts w:ascii="Calibri" w:eastAsia="Times New Roman" w:hAnsi="Calibri" w:cs="Calibri"/>
                <w:color w:val="000000"/>
              </w:rPr>
              <w:t>8</w:t>
            </w:r>
            <w:r w:rsidRPr="00650C0A">
              <w:rPr>
                <w:rFonts w:ascii="Calibri" w:eastAsia="Times New Roman" w:hAnsi="Calibri" w:cs="Calibri"/>
                <w:color w:val="000000"/>
              </w:rPr>
              <w:t>.</w:t>
            </w:r>
            <w:r w:rsidR="000C6487">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B937C1" w:rsidRPr="00650C0A" w:rsidRDefault="00B937C1" w:rsidP="000A0387">
            <w:pPr>
              <w:jc w:val="right"/>
              <w:rPr>
                <w:rFonts w:ascii="Calibri" w:eastAsia="Times New Roman" w:hAnsi="Calibri" w:cs="Calibri"/>
                <w:color w:val="000000"/>
              </w:rPr>
            </w:pPr>
            <w:r>
              <w:rPr>
                <w:rFonts w:ascii="Calibri" w:eastAsia="Times New Roman" w:hAnsi="Calibri" w:cs="Calibri"/>
                <w:color w:val="000000"/>
              </w:rPr>
              <w:t>-97.7</w:t>
            </w:r>
          </w:p>
        </w:tc>
      </w:tr>
    </w:tbl>
    <w:p w:rsidR="00B937C1" w:rsidRDefault="00B937C1" w:rsidP="00B937C1"/>
    <w:p w:rsidR="00B937C1" w:rsidRPr="00EA67EA" w:rsidRDefault="00B937C1" w:rsidP="00817BAC">
      <w:pPr>
        <w:jc w:val="both"/>
      </w:pPr>
      <w:r>
        <w:lastRenderedPageBreak/>
        <w:t xml:space="preserve">The procedure followed above has a few possible </w:t>
      </w:r>
      <w:r w:rsidR="00277476">
        <w:t>sources of error</w:t>
      </w:r>
      <w:r>
        <w:t>. The schedule for</w:t>
      </w:r>
      <w:r w:rsidR="00277476">
        <w:t xml:space="preserve"> commercial waste pick-up is unknown</w:t>
      </w:r>
      <w:r>
        <w:t xml:space="preserve"> and </w:t>
      </w:r>
      <w:r w:rsidR="00277476">
        <w:t>the estimate could be verified</w:t>
      </w:r>
      <w:r>
        <w:t>.  It may be that commercial waste is picked up nightly for some businesses and weekly for others. The commercial vendors within CCNY facilities may contract their MSW collection separate from the school MSW collection. It is difficult to quantify the error for impact on MSW collection infrastructure, but it is reasonable to suggest that it is of the order</w:t>
      </w:r>
      <w:r w:rsidR="00277476">
        <w:t xml:space="preserve"> of the error in MSW generated</w:t>
      </w:r>
      <w:r>
        <w:t>. In some sense, however, the error is insignificant as the build condition is less taxing on city infrastructure than the existing condition.</w:t>
      </w:r>
    </w:p>
    <w:p w:rsidR="00F830B3" w:rsidRPr="002F626E" w:rsidRDefault="007B4B3B" w:rsidP="002F626E">
      <w:pPr>
        <w:rPr>
          <w:sz w:val="28"/>
          <w:szCs w:val="28"/>
        </w:rPr>
      </w:pPr>
      <w:r>
        <w:rPr>
          <w:sz w:val="28"/>
          <w:szCs w:val="28"/>
        </w:rPr>
        <w:t xml:space="preserve">5.3.2 </w:t>
      </w:r>
      <w:r w:rsidR="00F830B3" w:rsidRPr="002F626E">
        <w:rPr>
          <w:sz w:val="28"/>
          <w:szCs w:val="28"/>
        </w:rPr>
        <w:t>Consistency with the City’s Solid Waste Management Plan</w:t>
      </w:r>
    </w:p>
    <w:p w:rsidR="00A5705A" w:rsidRPr="00D8683D" w:rsidRDefault="00F830B3" w:rsidP="0087620F">
      <w:pPr>
        <w:jc w:val="both"/>
      </w:pPr>
      <w:r>
        <w:t xml:space="preserve">The New CCNY Development does not warrant more detailed analysis </w:t>
      </w:r>
      <w:r w:rsidR="00277476">
        <w:t xml:space="preserve">as a result of the conclusion of no significant adverse impact </w:t>
      </w:r>
      <w:r>
        <w:t>and therefore does not require assessment with respect to the City’s SWMP. However, as previously stated, the reduced impact of the build condition comports with the goals of SWMP.</w:t>
      </w:r>
    </w:p>
    <w:p w:rsidR="003F7A29" w:rsidRPr="00AB06BA" w:rsidRDefault="00A5705A" w:rsidP="00277476">
      <w:pPr>
        <w:jc w:val="both"/>
      </w:pPr>
      <w:r>
        <w:t>Solid waste management of special waste, described in SEQR (2010)</w:t>
      </w:r>
      <w:r w:rsidR="00746C21">
        <w:t xml:space="preserve"> as</w:t>
      </w:r>
      <w:r>
        <w:t xml:space="preserve"> </w:t>
      </w:r>
      <w:r w:rsidR="00746C21">
        <w:t>those wastes that</w:t>
      </w:r>
      <w:r>
        <w:t xml:space="preserve"> “require special handling to avoid</w:t>
      </w:r>
      <w:r w:rsidR="00746C21">
        <w:t xml:space="preserve"> mixing</w:t>
      </w:r>
      <w:r>
        <w:t xml:space="preserve"> with regular refuse and recycling collections” </w:t>
      </w:r>
      <w:r w:rsidR="00746C21">
        <w:t>could</w:t>
      </w:r>
      <w:r>
        <w:t xml:space="preserve"> be estimated as well. An example of this </w:t>
      </w:r>
      <w:r w:rsidR="00746C21">
        <w:t>for</w:t>
      </w:r>
      <w:r>
        <w:t xml:space="preserve"> the proposed project </w:t>
      </w:r>
      <w:r w:rsidR="00746C21">
        <w:t>would</w:t>
      </w:r>
      <w:r>
        <w:t xml:space="preserve"> be – batteries, fluorescent light tubes, compact fluorescent bulbs, mercury thermostats (from various labs and classes). This material should be collected separately and regularly. Designated areas to store it should be assigned, as </w:t>
      </w:r>
      <w:r w:rsidR="00746C21">
        <w:t>DSNY</w:t>
      </w:r>
      <w:r>
        <w:t xml:space="preserve"> accepts this kind of waste at certain drop-off locations. </w:t>
      </w:r>
      <w:r w:rsidR="00746C21">
        <w:t>Its management should be specified, but is not expected to be an excessive burden and will fit within the special waste management of existing CCNY buildings.</w:t>
      </w:r>
    </w:p>
    <w:p w:rsidR="00DF3A33" w:rsidRDefault="00DF3A33" w:rsidP="00277476">
      <w:pPr>
        <w:jc w:val="both"/>
      </w:pPr>
      <w:r>
        <w:t xml:space="preserve">Comparing the existing and proposed conditions, </w:t>
      </w:r>
      <w:r w:rsidR="00C736BC">
        <w:t>the</w:t>
      </w:r>
      <w:r>
        <w:t xml:space="preserve"> proposed project will result </w:t>
      </w:r>
      <w:r w:rsidR="00277476">
        <w:t xml:space="preserve">in a </w:t>
      </w:r>
      <w:r>
        <w:t>decrease</w:t>
      </w:r>
      <w:r w:rsidR="00277476">
        <w:t xml:space="preserve"> in</w:t>
      </w:r>
      <w:r>
        <w:t xml:space="preserve"> the </w:t>
      </w:r>
      <w:r w:rsidR="00277476">
        <w:t>amount</w:t>
      </w:r>
      <w:r>
        <w:t xml:space="preserve"> of produced solid waste. </w:t>
      </w:r>
      <w:r w:rsidR="00C736BC">
        <w:t>There are</w:t>
      </w:r>
      <w:r>
        <w:t xml:space="preserve"> </w:t>
      </w:r>
      <w:r w:rsidR="00277476">
        <w:t>124.4</w:t>
      </w:r>
      <w:r>
        <w:t xml:space="preserve"> tons of solid waste per week for the existing conditions and </w:t>
      </w:r>
      <w:r w:rsidR="00277476">
        <w:t>43.2</w:t>
      </w:r>
      <w:r>
        <w:t xml:space="preserve"> ton</w:t>
      </w:r>
      <w:r w:rsidR="00277476">
        <w:t>s per week</w:t>
      </w:r>
      <w:r>
        <w:t xml:space="preserve"> for the proposed project</w:t>
      </w:r>
      <w:r w:rsidR="00277476">
        <w:t xml:space="preserve"> </w:t>
      </w:r>
      <w:r>
        <w:t>shown</w:t>
      </w:r>
      <w:r w:rsidR="00277476">
        <w:t xml:space="preserve"> with distributions</w:t>
      </w:r>
      <w:r>
        <w:t xml:space="preserve"> in </w:t>
      </w:r>
      <w:r w:rsidR="00277476">
        <w:t>Figure</w:t>
      </w:r>
      <w:r>
        <w:t xml:space="preserve"> </w:t>
      </w:r>
      <w:r w:rsidR="00277476">
        <w:t>4</w:t>
      </w:r>
      <w:r>
        <w:t xml:space="preserve">. </w:t>
      </w:r>
    </w:p>
    <w:p w:rsidR="00DF3A33" w:rsidRDefault="00963962" w:rsidP="00A83410">
      <w:pPr>
        <w:ind w:firstLine="720"/>
        <w:jc w:val="both"/>
      </w:pPr>
      <w:r>
        <w:rPr>
          <w:noProof/>
        </w:rPr>
        <w:drawing>
          <wp:inline distT="0" distB="0" distL="0" distR="0" wp14:anchorId="431FFEE3" wp14:editId="45A34B67">
            <wp:extent cx="5324475" cy="27432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277476" w:rsidRPr="00F20434" w:rsidRDefault="00F20434" w:rsidP="00F20434">
      <w:pPr>
        <w:pStyle w:val="Caption"/>
        <w:rPr>
          <w:b w:val="0"/>
          <w:color w:val="auto"/>
          <w:sz w:val="22"/>
          <w:szCs w:val="22"/>
        </w:rPr>
      </w:pPr>
      <w:bookmarkStart w:id="42" w:name="_Toc292580220"/>
      <w:r w:rsidRPr="00F20434">
        <w:rPr>
          <w:b w:val="0"/>
          <w:color w:val="auto"/>
          <w:sz w:val="22"/>
          <w:szCs w:val="22"/>
        </w:rPr>
        <w:t xml:space="preserve">Figure </w:t>
      </w:r>
      <w:r w:rsidRPr="00F20434">
        <w:rPr>
          <w:b w:val="0"/>
          <w:color w:val="auto"/>
          <w:sz w:val="22"/>
          <w:szCs w:val="22"/>
        </w:rPr>
        <w:fldChar w:fldCharType="begin"/>
      </w:r>
      <w:r w:rsidRPr="00F20434">
        <w:rPr>
          <w:b w:val="0"/>
          <w:color w:val="auto"/>
          <w:sz w:val="22"/>
          <w:szCs w:val="22"/>
        </w:rPr>
        <w:instrText xml:space="preserve"> SEQ Figure \* ARABIC </w:instrText>
      </w:r>
      <w:r w:rsidRPr="00F20434">
        <w:rPr>
          <w:b w:val="0"/>
          <w:color w:val="auto"/>
          <w:sz w:val="22"/>
          <w:szCs w:val="22"/>
        </w:rPr>
        <w:fldChar w:fldCharType="separate"/>
      </w:r>
      <w:r w:rsidR="00DD0A90">
        <w:rPr>
          <w:b w:val="0"/>
          <w:noProof/>
          <w:color w:val="auto"/>
          <w:sz w:val="22"/>
          <w:szCs w:val="22"/>
        </w:rPr>
        <w:t>4</w:t>
      </w:r>
      <w:r w:rsidRPr="00F20434">
        <w:rPr>
          <w:b w:val="0"/>
          <w:color w:val="auto"/>
          <w:sz w:val="22"/>
          <w:szCs w:val="22"/>
        </w:rPr>
        <w:fldChar w:fldCharType="end"/>
      </w:r>
      <w:r w:rsidRPr="00F20434">
        <w:rPr>
          <w:b w:val="0"/>
          <w:color w:val="auto"/>
          <w:sz w:val="22"/>
          <w:szCs w:val="22"/>
        </w:rPr>
        <w:t>: Distribution of solid waste generated in existing and project conditions</w:t>
      </w:r>
      <w:bookmarkEnd w:id="42"/>
    </w:p>
    <w:p w:rsidR="00DF3A33" w:rsidRDefault="00C736BC" w:rsidP="007B3932">
      <w:pPr>
        <w:jc w:val="both"/>
      </w:pPr>
      <w:r>
        <w:lastRenderedPageBreak/>
        <w:t>T</w:t>
      </w:r>
      <w:r w:rsidR="00DF3A33">
        <w:t xml:space="preserve">he proposed </w:t>
      </w:r>
      <w:r w:rsidR="007B3932">
        <w:t>project</w:t>
      </w:r>
      <w:r w:rsidR="00DF3A33">
        <w:t xml:space="preserve"> decreases the amount of solid waste by </w:t>
      </w:r>
      <w:r w:rsidR="007001CB">
        <w:t>65</w:t>
      </w:r>
      <w:r w:rsidR="00DF3A33">
        <w:t xml:space="preserve">% from the existing conditions even though it was calculated with the conservative approach. </w:t>
      </w:r>
    </w:p>
    <w:p w:rsidR="00DF3A33" w:rsidRDefault="00746C21" w:rsidP="007B3932">
      <w:pPr>
        <w:jc w:val="both"/>
      </w:pPr>
      <w:r>
        <w:t>T</w:t>
      </w:r>
      <w:r w:rsidR="00DF3A33">
        <w:t xml:space="preserve">he </w:t>
      </w:r>
      <w:r w:rsidR="007001CB">
        <w:t>results clearly show</w:t>
      </w:r>
      <w:r w:rsidR="00DF3A33">
        <w:t xml:space="preserve"> the advantages </w:t>
      </w:r>
      <w:r w:rsidR="007001CB">
        <w:t xml:space="preserve">with respect to MSW management </w:t>
      </w:r>
      <w:r w:rsidR="00DF3A33">
        <w:t xml:space="preserve">of building the new extension to the City College </w:t>
      </w:r>
      <w:r w:rsidR="007001CB">
        <w:t>west of</w:t>
      </w:r>
      <w:r w:rsidR="00DF3A33">
        <w:t xml:space="preserve"> Amsterdam Avenue, between 135</w:t>
      </w:r>
      <w:r w:rsidR="00DF3A33" w:rsidRPr="008918BF">
        <w:rPr>
          <w:vertAlign w:val="superscript"/>
        </w:rPr>
        <w:t>th</w:t>
      </w:r>
      <w:r w:rsidR="00DF3A33">
        <w:t xml:space="preserve"> and 140</w:t>
      </w:r>
      <w:r w:rsidR="00DF3A33" w:rsidRPr="008918BF">
        <w:rPr>
          <w:vertAlign w:val="superscript"/>
        </w:rPr>
        <w:t>th</w:t>
      </w:r>
      <w:r w:rsidR="00DF3A33">
        <w:t xml:space="preserve"> streets. The </w:t>
      </w:r>
      <w:r>
        <w:t>results</w:t>
      </w:r>
      <w:r w:rsidR="00DF3A33">
        <w:t xml:space="preserve"> make sense </w:t>
      </w:r>
      <w:r w:rsidR="00C736BC">
        <w:t>based on</w:t>
      </w:r>
      <w:r w:rsidR="00DF3A33">
        <w:t xml:space="preserve"> the conservative method</w:t>
      </w:r>
      <w:r>
        <w:t>s</w:t>
      </w:r>
      <w:r w:rsidR="00C736BC">
        <w:t xml:space="preserve"> used</w:t>
      </w:r>
      <w:r w:rsidR="00DF3A33">
        <w:t xml:space="preserve">, which </w:t>
      </w:r>
      <w:r>
        <w:t>are</w:t>
      </w:r>
      <w:r w:rsidR="00DF3A33">
        <w:t xml:space="preserve"> reasonable for estimating impact; the data used was collected personally using </w:t>
      </w:r>
      <w:r w:rsidR="00C736BC">
        <w:t>authoritative</w:t>
      </w:r>
      <w:r w:rsidR="00DF3A33">
        <w:t xml:space="preserve"> websites and survey. T</w:t>
      </w:r>
      <w:r w:rsidR="007001CB">
        <w:t xml:space="preserve">he solid waste rates </w:t>
      </w:r>
      <w:r>
        <w:t>are</w:t>
      </w:r>
      <w:r w:rsidR="007001CB">
        <w:t xml:space="preserve"> taken</w:t>
      </w:r>
      <w:r w:rsidR="00DF3A33">
        <w:t xml:space="preserve"> from </w:t>
      </w:r>
      <w:r>
        <w:t xml:space="preserve">current </w:t>
      </w:r>
      <w:r w:rsidR="00DF3A33">
        <w:t xml:space="preserve">CEQR. Any assumptions </w:t>
      </w:r>
      <w:r>
        <w:t>are</w:t>
      </w:r>
      <w:r w:rsidR="00DF3A33">
        <w:t xml:space="preserve"> specified and explained. </w:t>
      </w:r>
    </w:p>
    <w:p w:rsidR="00A5705A" w:rsidRPr="0001715A" w:rsidRDefault="007B4B3B" w:rsidP="001234D7">
      <w:pPr>
        <w:spacing w:before="240" w:after="0"/>
        <w:rPr>
          <w:sz w:val="28"/>
          <w:szCs w:val="28"/>
        </w:rPr>
      </w:pPr>
      <w:r>
        <w:rPr>
          <w:sz w:val="28"/>
          <w:szCs w:val="28"/>
        </w:rPr>
        <w:t xml:space="preserve">5.3.3 </w:t>
      </w:r>
      <w:r w:rsidR="00A5705A" w:rsidRPr="0001715A">
        <w:rPr>
          <w:sz w:val="28"/>
          <w:szCs w:val="28"/>
        </w:rPr>
        <w:t>Mitigation</w:t>
      </w:r>
    </w:p>
    <w:p w:rsidR="00A5705A" w:rsidRDefault="00A5705A" w:rsidP="007B3932">
      <w:pPr>
        <w:jc w:val="both"/>
      </w:pPr>
      <w:r>
        <w:t>In order to reduce solid wast</w:t>
      </w:r>
      <w:r w:rsidR="0088576B">
        <w:t>e several mitigation measure</w:t>
      </w:r>
      <w:r>
        <w:t xml:space="preserve">s can be made for the </w:t>
      </w:r>
      <w:r w:rsidR="0088576B">
        <w:t>project:</w:t>
      </w:r>
    </w:p>
    <w:p w:rsidR="00A5705A" w:rsidRDefault="00C164A1" w:rsidP="007B3932">
      <w:pPr>
        <w:pStyle w:val="ListParagraph"/>
        <w:numPr>
          <w:ilvl w:val="0"/>
          <w:numId w:val="31"/>
        </w:numPr>
        <w:jc w:val="both"/>
      </w:pPr>
      <w:r>
        <w:t>Extensive recycling</w:t>
      </w:r>
      <w:r w:rsidR="0088576B">
        <w:t>,</w:t>
      </w:r>
      <w:r>
        <w:t xml:space="preserve"> including</w:t>
      </w:r>
      <w:r w:rsidR="00A5705A">
        <w:t xml:space="preserve"> using recycling bins for paper/bottles in each building and outside</w:t>
      </w:r>
      <w:r>
        <w:t xml:space="preserve"> as well as</w:t>
      </w:r>
      <w:r w:rsidR="00A5705A">
        <w:t xml:space="preserve"> recycling in the café</w:t>
      </w:r>
      <w:r>
        <w:t xml:space="preserve"> and cafeteria areas</w:t>
      </w:r>
      <w:r w:rsidR="0088576B">
        <w:t>.</w:t>
      </w:r>
    </w:p>
    <w:p w:rsidR="00A5705A" w:rsidRDefault="00A5705A" w:rsidP="00A5705A">
      <w:pPr>
        <w:numPr>
          <w:ilvl w:val="0"/>
          <w:numId w:val="7"/>
        </w:numPr>
        <w:jc w:val="both"/>
      </w:pPr>
      <w:r>
        <w:t>Using only air-dryers in public lavatories.</w:t>
      </w:r>
      <w:r w:rsidR="00C164A1">
        <w:t xml:space="preserve"> </w:t>
      </w:r>
      <w:r>
        <w:t>This is necessary in order to reduce</w:t>
      </w:r>
      <w:r w:rsidR="0088576B">
        <w:t xml:space="preserve"> sanitary</w:t>
      </w:r>
      <w:r>
        <w:t xml:space="preserve"> paper waste in the building (which is not recyclable). </w:t>
      </w:r>
    </w:p>
    <w:p w:rsidR="00A5705A" w:rsidRDefault="00A5705A" w:rsidP="00FE3A9E">
      <w:pPr>
        <w:numPr>
          <w:ilvl w:val="0"/>
          <w:numId w:val="7"/>
        </w:numPr>
        <w:jc w:val="both"/>
      </w:pPr>
      <w:r>
        <w:t xml:space="preserve">Using e-mail instead of paper letters. </w:t>
      </w:r>
    </w:p>
    <w:p w:rsidR="00A5705A" w:rsidRDefault="00A5705A" w:rsidP="00A5705A">
      <w:pPr>
        <w:numPr>
          <w:ilvl w:val="0"/>
          <w:numId w:val="7"/>
        </w:numPr>
        <w:jc w:val="both"/>
      </w:pPr>
      <w:r>
        <w:t>Usi</w:t>
      </w:r>
      <w:r w:rsidR="0088576B">
        <w:t>ng only printers with double-sided</w:t>
      </w:r>
      <w:r>
        <w:t xml:space="preserve"> printing option</w:t>
      </w:r>
      <w:r w:rsidR="00C164A1">
        <w:t xml:space="preserve"> a</w:t>
      </w:r>
      <w:r>
        <w:t>nd advising faculty members and students to use it.</w:t>
      </w:r>
    </w:p>
    <w:p w:rsidR="00A5705A" w:rsidRDefault="00A5705A" w:rsidP="007B3932">
      <w:pPr>
        <w:pStyle w:val="ListParagraph"/>
        <w:numPr>
          <w:ilvl w:val="0"/>
          <w:numId w:val="7"/>
        </w:numPr>
        <w:jc w:val="both"/>
      </w:pPr>
      <w:r>
        <w:t>Installation of water</w:t>
      </w:r>
      <w:r w:rsidR="0001715A">
        <w:t>-bottle</w:t>
      </w:r>
      <w:r>
        <w:t xml:space="preserve"> </w:t>
      </w:r>
      <w:r w:rsidR="0001715A">
        <w:t>fillers</w:t>
      </w:r>
      <w:r>
        <w:t xml:space="preserve"> on each floor</w:t>
      </w:r>
      <w:r w:rsidR="0088576B">
        <w:t>.</w:t>
      </w:r>
    </w:p>
    <w:p w:rsidR="00A5705A" w:rsidRDefault="0001715A" w:rsidP="00A5705A">
      <w:pPr>
        <w:jc w:val="both"/>
      </w:pPr>
      <w:r>
        <w:t>The exis</w:t>
      </w:r>
      <w:r w:rsidR="00A5705A">
        <w:t xml:space="preserve">ting Marshak Science building has this system on the ground </w:t>
      </w:r>
      <w:r w:rsidR="0088576B">
        <w:t>floor;</w:t>
      </w:r>
      <w:r w:rsidR="00A5705A">
        <w:t xml:space="preserve"> however, it is advised </w:t>
      </w:r>
      <w:r w:rsidR="0088576B">
        <w:t>that they</w:t>
      </w:r>
      <w:r w:rsidR="00A5705A">
        <w:t xml:space="preserve"> be installed on each floor</w:t>
      </w:r>
      <w:r w:rsidR="0088576B">
        <w:t xml:space="preserve"> to reduce demand on disposable bottles.</w:t>
      </w:r>
    </w:p>
    <w:p w:rsidR="00A5705A" w:rsidRDefault="00A5705A" w:rsidP="007B3932">
      <w:pPr>
        <w:pStyle w:val="ListParagraph"/>
        <w:numPr>
          <w:ilvl w:val="0"/>
          <w:numId w:val="32"/>
        </w:numPr>
        <w:jc w:val="both"/>
      </w:pPr>
      <w:r>
        <w:t>On-site Composting.</w:t>
      </w:r>
    </w:p>
    <w:p w:rsidR="00A5705A" w:rsidRDefault="00A5705A" w:rsidP="00A5705A">
      <w:pPr>
        <w:jc w:val="both"/>
      </w:pPr>
      <w:r>
        <w:t xml:space="preserve">In order to reduce food waste, on-site composting is a unique opportunity for the college. </w:t>
      </w:r>
      <w:r>
        <w:rPr>
          <w:rStyle w:val="bodytext0"/>
        </w:rPr>
        <w:t xml:space="preserve">The NYC Compost Project was created by the NYC Department of Sanitation in 1993 to provide </w:t>
      </w:r>
      <w:r w:rsidRPr="00A85267">
        <w:rPr>
          <w:rStyle w:val="bodytext0"/>
        </w:rPr>
        <w:t>compost education</w:t>
      </w:r>
      <w:r>
        <w:rPr>
          <w:rStyle w:val="bodytext0"/>
        </w:rPr>
        <w:t xml:space="preserve"> and outreach to NYC residents, nonprofit organizations, and businesses (</w:t>
      </w:r>
      <w:r w:rsidR="0088576B">
        <w:rPr>
          <w:rStyle w:val="bodytext0"/>
        </w:rPr>
        <w:t>The City of New York, 2011)</w:t>
      </w:r>
      <w:r>
        <w:rPr>
          <w:rStyle w:val="bodytext0"/>
        </w:rPr>
        <w:t xml:space="preserve">. </w:t>
      </w:r>
      <w:r>
        <w:t>Composting bins can be located behind the buildings. Composted material can be used for lawns or can be sen</w:t>
      </w:r>
      <w:r w:rsidR="0088576B">
        <w:t>t</w:t>
      </w:r>
      <w:r>
        <w:t xml:space="preserve"> to the following organizations which require compost (</w:t>
      </w:r>
      <w:r w:rsidR="0088576B">
        <w:rPr>
          <w:rStyle w:val="bodytext0"/>
        </w:rPr>
        <w:t>The City of New York, 2011</w:t>
      </w:r>
      <w:r>
        <w:t xml:space="preserve">): community gardens, NYC Housing authority, NYC parks, NYC schools, etc. </w:t>
      </w:r>
    </w:p>
    <w:p w:rsidR="00B937C1" w:rsidRPr="00B937C1" w:rsidRDefault="007B4B3B" w:rsidP="004B4519">
      <w:pPr>
        <w:pStyle w:val="Heading1"/>
      </w:pPr>
      <w:bookmarkStart w:id="43" w:name="_Toc290524344"/>
      <w:bookmarkStart w:id="44" w:name="_Toc292629349"/>
      <w:r>
        <w:t xml:space="preserve">6.0 </w:t>
      </w:r>
      <w:r w:rsidR="00B937C1" w:rsidRPr="00B937C1">
        <w:t>Conclusion</w:t>
      </w:r>
      <w:bookmarkEnd w:id="43"/>
      <w:bookmarkEnd w:id="44"/>
    </w:p>
    <w:p w:rsidR="00B937C1" w:rsidRDefault="00B937C1" w:rsidP="007B3932">
      <w:pPr>
        <w:tabs>
          <w:tab w:val="left" w:pos="3315"/>
        </w:tabs>
        <w:jc w:val="both"/>
      </w:pPr>
      <w:r>
        <w:t>The proposed City College of New York expansion, covering the project site from 135</w:t>
      </w:r>
      <w:r w:rsidRPr="00B937C1">
        <w:rPr>
          <w:vertAlign w:val="superscript"/>
        </w:rPr>
        <w:t>th</w:t>
      </w:r>
      <w:r>
        <w:t xml:space="preserve"> Street to 140</w:t>
      </w:r>
      <w:r w:rsidRPr="00B937C1">
        <w:rPr>
          <w:vertAlign w:val="superscript"/>
        </w:rPr>
        <w:t>th</w:t>
      </w:r>
      <w:r>
        <w:t xml:space="preserve"> Street between Amsterdam Avenue and Riverside Avenue will have a </w:t>
      </w:r>
      <w:r w:rsidR="007B3932">
        <w:t xml:space="preserve">65% </w:t>
      </w:r>
      <w:r>
        <w:t xml:space="preserve">net reduction in solid waste generated, resulting in a reduced load on municipal solid waste collection infrastructure. </w:t>
      </w:r>
      <w:r w:rsidR="007B3932">
        <w:t>The consolidation of waste pick-ups from one per small building</w:t>
      </w:r>
      <w:r w:rsidR="0088576B">
        <w:t xml:space="preserve"> and business</w:t>
      </w:r>
      <w:r w:rsidR="007B3932">
        <w:t xml:space="preserve"> to one pick-up per institutional building reduces impact on the DSNY yet does not directly reduce the waste stream. A significant reduction in DSNY truck time in the project area positively impacts quality of life, noise, traffic, and air pollution.</w:t>
      </w:r>
      <w:r w:rsidR="0088576B">
        <w:t xml:space="preserve"> No waste management facilities are displaced by the project.</w:t>
      </w:r>
      <w:r w:rsidR="007B3932">
        <w:t xml:space="preserve"> </w:t>
      </w:r>
      <w:r>
        <w:t xml:space="preserve">Further, mitigation measures already in place at the college, and further measures </w:t>
      </w:r>
      <w:r>
        <w:lastRenderedPageBreak/>
        <w:t xml:space="preserve">proposed herein, will reduce the solid waste generated </w:t>
      </w:r>
      <w:r w:rsidR="00761988">
        <w:t>in the project area</w:t>
      </w:r>
      <w:r w:rsidR="0088576B">
        <w:t xml:space="preserve"> from the already low estimates</w:t>
      </w:r>
      <w:r w:rsidR="00761988">
        <w:t xml:space="preserve">. The initial evaluation </w:t>
      </w:r>
      <w:r w:rsidR="0088576B">
        <w:t>dictated</w:t>
      </w:r>
      <w:r w:rsidR="00761988">
        <w:t xml:space="preserve"> a finding of no significant impact for the solid waste management attribute. Detailed analysis was conducted to examine the projected net reduction in solid waste, although not strictly required by CEQR. Secondary benefits to traffic and air quality are projected as a result of reduced sanitation truck activity in the project area.</w:t>
      </w:r>
      <w:r w:rsidR="005D191F">
        <w:t xml:space="preserve"> The recommendation is to approve the proposed project with regard to </w:t>
      </w:r>
      <w:r w:rsidR="0088576B">
        <w:t>its impact on the</w:t>
      </w:r>
      <w:r w:rsidR="003B6E70">
        <w:t xml:space="preserve"> </w:t>
      </w:r>
      <w:r w:rsidR="0088576B">
        <w:t xml:space="preserve"> </w:t>
      </w:r>
      <w:r w:rsidR="005D191F">
        <w:t>municipal solid waste</w:t>
      </w:r>
      <w:r w:rsidR="0088576B">
        <w:t xml:space="preserve"> attribute</w:t>
      </w:r>
      <w:r w:rsidR="005D191F">
        <w:t>.</w:t>
      </w:r>
    </w:p>
    <w:p w:rsidR="00277476" w:rsidRDefault="00277476" w:rsidP="00A5705A">
      <w:pPr>
        <w:tabs>
          <w:tab w:val="left" w:pos="3315"/>
        </w:tabs>
      </w:pPr>
    </w:p>
    <w:p w:rsidR="00CA566A" w:rsidRDefault="00CA566A">
      <w:pPr>
        <w:rPr>
          <w:smallCaps/>
          <w:spacing w:val="5"/>
          <w:sz w:val="36"/>
          <w:szCs w:val="36"/>
        </w:rPr>
      </w:pPr>
      <w:bookmarkStart w:id="45" w:name="_Toc290524345"/>
      <w:r>
        <w:br w:type="page"/>
      </w:r>
    </w:p>
    <w:p w:rsidR="00486CDD" w:rsidRPr="004B4519" w:rsidRDefault="00486CDD" w:rsidP="004B4519">
      <w:pPr>
        <w:pStyle w:val="Heading1"/>
      </w:pPr>
      <w:bookmarkStart w:id="46" w:name="_Toc292629350"/>
      <w:r w:rsidRPr="004B4519">
        <w:lastRenderedPageBreak/>
        <w:t>Reference</w:t>
      </w:r>
      <w:bookmarkEnd w:id="45"/>
      <w:bookmarkEnd w:id="46"/>
    </w:p>
    <w:p w:rsidR="00B937C1" w:rsidRPr="00BD585A" w:rsidRDefault="00BD585A" w:rsidP="00B937C1">
      <w:pPr>
        <w:rPr>
          <w:rFonts w:asciiTheme="minorHAnsi" w:hAnsi="Calibri" w:cstheme="minorBidi"/>
        </w:rPr>
      </w:pPr>
      <w:r w:rsidRPr="00F533E2">
        <w:rPr>
          <w:rFonts w:cstheme="minorBidi"/>
        </w:rPr>
        <w:t>AKRF, Inc. (2007). “F</w:t>
      </w:r>
      <w:r w:rsidR="00F533E2">
        <w:rPr>
          <w:rFonts w:cstheme="minorBidi"/>
        </w:rPr>
        <w:t xml:space="preserve">inal </w:t>
      </w:r>
      <w:r w:rsidR="00F533E2" w:rsidRPr="00F533E2">
        <w:rPr>
          <w:rFonts w:cstheme="minorBidi"/>
        </w:rPr>
        <w:t>E</w:t>
      </w:r>
      <w:r w:rsidR="00F533E2">
        <w:rPr>
          <w:rFonts w:cstheme="minorBidi"/>
        </w:rPr>
        <w:t>nvironmental</w:t>
      </w:r>
      <w:r w:rsidR="00F533E2" w:rsidRPr="00F533E2">
        <w:rPr>
          <w:rFonts w:cstheme="minorBidi"/>
        </w:rPr>
        <w:t xml:space="preserve"> I</w:t>
      </w:r>
      <w:r w:rsidR="00F533E2">
        <w:rPr>
          <w:rFonts w:cstheme="minorBidi"/>
        </w:rPr>
        <w:t>mpact</w:t>
      </w:r>
      <w:r w:rsidR="00F533E2" w:rsidRPr="00F533E2">
        <w:rPr>
          <w:rFonts w:cstheme="minorBidi"/>
        </w:rPr>
        <w:t xml:space="preserve"> S</w:t>
      </w:r>
      <w:r w:rsidR="00F533E2">
        <w:rPr>
          <w:rFonts w:cstheme="minorBidi"/>
        </w:rPr>
        <w:t>tatement</w:t>
      </w:r>
      <w:r w:rsidR="00F533E2" w:rsidRPr="00F533E2">
        <w:rPr>
          <w:rFonts w:cstheme="minorBidi"/>
        </w:rPr>
        <w:t xml:space="preserve"> for the </w:t>
      </w:r>
      <w:r w:rsidRPr="00F533E2">
        <w:rPr>
          <w:rFonts w:cstheme="minorBidi"/>
        </w:rPr>
        <w:t>P</w:t>
      </w:r>
      <w:r w:rsidR="00F533E2">
        <w:rPr>
          <w:rFonts w:cstheme="minorBidi"/>
        </w:rPr>
        <w:t>roposed</w:t>
      </w:r>
      <w:r w:rsidRPr="00F533E2">
        <w:rPr>
          <w:rFonts w:cstheme="minorBidi"/>
        </w:rPr>
        <w:t xml:space="preserve"> M</w:t>
      </w:r>
      <w:r w:rsidR="00F533E2">
        <w:rPr>
          <w:rFonts w:cstheme="minorBidi"/>
        </w:rPr>
        <w:t>anhattanville</w:t>
      </w:r>
      <w:r w:rsidR="00F533E2" w:rsidRPr="00F533E2">
        <w:rPr>
          <w:rFonts w:cstheme="minorBidi"/>
        </w:rPr>
        <w:t xml:space="preserve"> </w:t>
      </w:r>
      <w:r w:rsidR="00F533E2">
        <w:rPr>
          <w:rFonts w:cstheme="minorBidi"/>
        </w:rPr>
        <w:t>in</w:t>
      </w:r>
      <w:r w:rsidR="00F533E2" w:rsidRPr="00F533E2">
        <w:rPr>
          <w:rFonts w:cstheme="minorBidi"/>
        </w:rPr>
        <w:t xml:space="preserve"> W</w:t>
      </w:r>
      <w:r w:rsidR="00F533E2">
        <w:rPr>
          <w:rFonts w:cstheme="minorBidi"/>
        </w:rPr>
        <w:t>est</w:t>
      </w:r>
      <w:r w:rsidR="00F533E2" w:rsidRPr="00F533E2">
        <w:rPr>
          <w:rFonts w:cstheme="minorBidi"/>
        </w:rPr>
        <w:t xml:space="preserve"> H</w:t>
      </w:r>
      <w:r w:rsidR="00F533E2">
        <w:rPr>
          <w:rFonts w:cstheme="minorBidi"/>
        </w:rPr>
        <w:t xml:space="preserve">arlem </w:t>
      </w:r>
      <w:r w:rsidR="00F533E2" w:rsidRPr="00F533E2">
        <w:rPr>
          <w:rFonts w:cstheme="minorBidi"/>
        </w:rPr>
        <w:t>R</w:t>
      </w:r>
      <w:r w:rsidR="00F533E2">
        <w:rPr>
          <w:rFonts w:cstheme="minorBidi"/>
        </w:rPr>
        <w:t>ezoning</w:t>
      </w:r>
      <w:r w:rsidR="00F533E2" w:rsidRPr="00F533E2">
        <w:rPr>
          <w:rFonts w:cstheme="minorBidi"/>
        </w:rPr>
        <w:t xml:space="preserve"> </w:t>
      </w:r>
      <w:r w:rsidR="00F533E2">
        <w:rPr>
          <w:rFonts w:cstheme="minorBidi"/>
        </w:rPr>
        <w:t>and</w:t>
      </w:r>
      <w:r w:rsidR="00F533E2" w:rsidRPr="00F533E2">
        <w:rPr>
          <w:rFonts w:cstheme="minorBidi"/>
        </w:rPr>
        <w:t xml:space="preserve"> </w:t>
      </w:r>
      <w:r w:rsidRPr="00F533E2">
        <w:rPr>
          <w:rFonts w:cstheme="minorBidi"/>
        </w:rPr>
        <w:t>A</w:t>
      </w:r>
      <w:r w:rsidR="00F533E2">
        <w:rPr>
          <w:rFonts w:cstheme="minorBidi"/>
        </w:rPr>
        <w:t>cademic</w:t>
      </w:r>
      <w:r w:rsidRPr="00F533E2">
        <w:rPr>
          <w:rFonts w:cstheme="minorBidi"/>
        </w:rPr>
        <w:t xml:space="preserve"> M</w:t>
      </w:r>
      <w:r w:rsidR="00F533E2">
        <w:rPr>
          <w:rFonts w:cstheme="minorBidi"/>
        </w:rPr>
        <w:t>ixed</w:t>
      </w:r>
      <w:r w:rsidRPr="00F533E2">
        <w:rPr>
          <w:rFonts w:cstheme="minorBidi"/>
        </w:rPr>
        <w:t>-</w:t>
      </w:r>
      <w:r w:rsidR="00F533E2">
        <w:rPr>
          <w:rFonts w:cstheme="minorBidi"/>
        </w:rPr>
        <w:t>use</w:t>
      </w:r>
      <w:r w:rsidRPr="00F533E2">
        <w:rPr>
          <w:rFonts w:cstheme="minorBidi"/>
        </w:rPr>
        <w:t xml:space="preserve"> D</w:t>
      </w:r>
      <w:r w:rsidR="00F533E2">
        <w:rPr>
          <w:rFonts w:cstheme="minorBidi"/>
        </w:rPr>
        <w:t>evelopment.” City Planning Commission, City of New York.</w:t>
      </w:r>
    </w:p>
    <w:p w:rsidR="00B937C1" w:rsidRDefault="00B937C1" w:rsidP="003113BE">
      <w:r w:rsidRPr="00A02CDA">
        <w:t>City College of New York (2011). “City Facts Fall 2010.” Office of Institutional Research. &lt;http://www1.ccny.cuny.edu/facultystaff/ir/upload</w:t>
      </w:r>
      <w:r w:rsidR="00DF3A33">
        <w:t>/CF_2010.pdf&gt; (March 12, 2011).</w:t>
      </w:r>
    </w:p>
    <w:p w:rsidR="00B937C1" w:rsidRDefault="00B937C1" w:rsidP="003113BE">
      <w:r>
        <w:t>City of New York (2011), “What Happens To NYC Compost In Manhattan.”   City of New York,  &lt;</w:t>
      </w:r>
      <w:r w:rsidRPr="00A85267">
        <w:t>http://www.nyc.gov/html/nycwasteless/html/compost/operations_uses_MAN.shtml</w:t>
      </w:r>
      <w:r>
        <w:t xml:space="preserve">&gt; </w:t>
      </w:r>
      <w:r w:rsidRPr="00983FA8">
        <w:t>/</w:t>
      </w:r>
      <w:r>
        <w:t>&gt;(February 25, 2011)</w:t>
      </w:r>
      <w:r w:rsidR="00DF3A33">
        <w:t>.</w:t>
      </w:r>
    </w:p>
    <w:p w:rsidR="00A5705A" w:rsidRDefault="00B937C1" w:rsidP="003113BE">
      <w:r>
        <w:t>City of New York (2009) “NYC DS Refuse Disposal Network, City of New York”,</w:t>
      </w:r>
      <w:r w:rsidRPr="003A7DE1">
        <w:t xml:space="preserve"> </w:t>
      </w:r>
      <w:r>
        <w:t>City of New York, &lt;</w:t>
      </w:r>
      <w:r w:rsidRPr="00E459AE">
        <w:t>http://www.nyc.gov/html/oec/downloads/pdf/2010_ceqr_tm/2010_ceqr_tm_ch14_solid</w:t>
      </w:r>
      <w:r w:rsidR="00604D97">
        <w:t>_waste_r</w:t>
      </w:r>
      <w:r w:rsidRPr="00E459AE">
        <w:t>efuse_disposal_network.pdf</w:t>
      </w:r>
      <w:r>
        <w:t xml:space="preserve"> &gt; (February 26, 2011)</w:t>
      </w:r>
    </w:p>
    <w:p w:rsidR="00A5705A" w:rsidRDefault="00A5705A" w:rsidP="003113BE">
      <w:r>
        <w:t>City College of New York (2011). “CCNYTowers.”  City College of New York, &lt;</w:t>
      </w:r>
      <w:r w:rsidRPr="00E04660">
        <w:t>http://www.ccnytowers.com/</w:t>
      </w:r>
      <w:r w:rsidR="00DF3A33">
        <w:t>&gt; (February 25, 2011).</w:t>
      </w:r>
    </w:p>
    <w:p w:rsidR="00A5705A" w:rsidRDefault="00A5705A" w:rsidP="003113BE">
      <w:r>
        <w:t>City College of New York (2011). “The Marshak Science Building.” City College of New York,  &lt;</w:t>
      </w:r>
      <w:r w:rsidRPr="00D35D9A">
        <w:t>http://www.ccny.cuny.edu/aboutus/campus/science00.htm</w:t>
      </w:r>
      <w:r>
        <w:t>&gt; (Feb</w:t>
      </w:r>
      <w:r w:rsidR="00DF3A33">
        <w:t>ruary 25, 2011).</w:t>
      </w:r>
    </w:p>
    <w:p w:rsidR="00A5705A" w:rsidRDefault="00A5705A" w:rsidP="003113BE">
      <w:r>
        <w:t xml:space="preserve">City of New York (2011). “NYC Compost Project.” City of New York, </w:t>
      </w:r>
      <w:r w:rsidRPr="008A7C84">
        <w:t>http://www.nyc.gov/html/nycwasteless/html/compost/compostproj.shtml</w:t>
      </w:r>
      <w:r w:rsidR="00DF3A33">
        <w:t>&gt; (February 25, 2011).</w:t>
      </w:r>
    </w:p>
    <w:p w:rsidR="00A5705A" w:rsidRDefault="00A5705A" w:rsidP="003113BE">
      <w:r>
        <w:t>City of New York (2011). “New York City Map.” City of New York,  &lt;</w:t>
      </w:r>
      <w:r w:rsidRPr="00983FA8">
        <w:t>http://gis.nyc.gov/doitt/nycitymap/</w:t>
      </w:r>
      <w:r>
        <w:t>&gt;(February 25, 2011).</w:t>
      </w:r>
    </w:p>
    <w:p w:rsidR="00A5705A" w:rsidRPr="00604D97" w:rsidRDefault="00A5705A" w:rsidP="003113BE">
      <w:pPr>
        <w:rPr>
          <w:i/>
          <w:iCs/>
        </w:rPr>
      </w:pPr>
      <w:r w:rsidRPr="00682FD5">
        <w:rPr>
          <w:bCs/>
        </w:rPr>
        <w:t xml:space="preserve">The Louis Berger Group, Inc (2007). “Draft Environmental Impact Statement </w:t>
      </w:r>
      <w:r w:rsidR="00604D97" w:rsidRPr="00604D97">
        <w:rPr>
          <w:iCs/>
        </w:rPr>
        <w:t>for the</w:t>
      </w:r>
      <w:r w:rsidR="00604D97">
        <w:rPr>
          <w:i/>
          <w:iCs/>
        </w:rPr>
        <w:t xml:space="preserve"> </w:t>
      </w:r>
      <w:r w:rsidRPr="00682FD5">
        <w:rPr>
          <w:bCs/>
        </w:rPr>
        <w:t>The City Colle</w:t>
      </w:r>
      <w:r>
        <w:rPr>
          <w:bCs/>
        </w:rPr>
        <w:t xml:space="preserve">ge of New York Science Building </w:t>
      </w:r>
      <w:r w:rsidRPr="00682FD5">
        <w:rPr>
          <w:bCs/>
        </w:rPr>
        <w:t xml:space="preserve">and </w:t>
      </w:r>
      <w:r>
        <w:rPr>
          <w:bCs/>
        </w:rPr>
        <w:t xml:space="preserve">The City University of New York </w:t>
      </w:r>
      <w:r w:rsidRPr="00682FD5">
        <w:rPr>
          <w:bCs/>
        </w:rPr>
        <w:t>Advanced Science Research Center Project</w:t>
      </w:r>
      <w:r>
        <w:rPr>
          <w:bCs/>
        </w:rPr>
        <w:t>.</w:t>
      </w:r>
      <w:r w:rsidRPr="00682FD5">
        <w:rPr>
          <w:bCs/>
        </w:rPr>
        <w:t>”</w:t>
      </w:r>
      <w:r>
        <w:rPr>
          <w:bCs/>
        </w:rPr>
        <w:t xml:space="preserve"> Dormitory Authority of the State of New York, New York, New York.</w:t>
      </w:r>
    </w:p>
    <w:p w:rsidR="00A5705A" w:rsidRDefault="00486CDD" w:rsidP="003113BE">
      <w:r>
        <w:t xml:space="preserve">The City of New York (2010). </w:t>
      </w:r>
      <w:r>
        <w:rPr>
          <w:i/>
        </w:rPr>
        <w:t xml:space="preserve"> The City Environmental Quality Review (CEQR) Manual.</w:t>
      </w:r>
      <w:r>
        <w:t xml:space="preserve"> City o</w:t>
      </w:r>
      <w:r w:rsidR="00DF3A33">
        <w:t>f New York, New York, New York.</w:t>
      </w:r>
    </w:p>
    <w:p w:rsidR="00A5705A" w:rsidRDefault="00A5705A" w:rsidP="003113BE">
      <w:bookmarkStart w:id="47" w:name="_Toc290524346"/>
      <w:r w:rsidRPr="0007168F">
        <w:rPr>
          <w:rFonts w:eastAsia="Times New Roman"/>
          <w:bCs/>
        </w:rPr>
        <w:t>O'Neal</w:t>
      </w:r>
      <w:r>
        <w:rPr>
          <w:rFonts w:eastAsia="Times New Roman"/>
          <w:bCs/>
        </w:rPr>
        <w:t xml:space="preserve">, </w:t>
      </w:r>
      <w:r w:rsidRPr="0007168F">
        <w:rPr>
          <w:rFonts w:eastAsia="Times New Roman"/>
          <w:bCs/>
        </w:rPr>
        <w:t>Michael</w:t>
      </w:r>
      <w:r>
        <w:rPr>
          <w:rFonts w:eastAsia="Times New Roman"/>
          <w:bCs/>
        </w:rPr>
        <w:t xml:space="preserve"> (2009). “</w:t>
      </w:r>
      <w:r w:rsidRPr="0007168F">
        <w:rPr>
          <w:rFonts w:eastAsia="Times New Roman"/>
          <w:bCs/>
        </w:rPr>
        <w:t>Enrollment is up at CCNY</w:t>
      </w:r>
      <w:r>
        <w:rPr>
          <w:rFonts w:eastAsia="Times New Roman"/>
          <w:bCs/>
        </w:rPr>
        <w:t xml:space="preserve">.” </w:t>
      </w:r>
      <w:r w:rsidRPr="0007168F">
        <w:rPr>
          <w:rFonts w:eastAsia="Times New Roman"/>
          <w:bCs/>
          <w:i/>
        </w:rPr>
        <w:t>The Campus</w:t>
      </w:r>
      <w:r>
        <w:rPr>
          <w:rFonts w:eastAsia="Times New Roman"/>
          <w:bCs/>
          <w:i/>
        </w:rPr>
        <w:t>,</w:t>
      </w:r>
      <w:r w:rsidRPr="0007168F">
        <w:rPr>
          <w:rFonts w:eastAsia="Times New Roman"/>
        </w:rPr>
        <w:t xml:space="preserve"> 10/13/09</w:t>
      </w:r>
      <w:r>
        <w:rPr>
          <w:rFonts w:eastAsia="Times New Roman"/>
        </w:rPr>
        <w:t>, Page1 of News section</w:t>
      </w:r>
      <w:bookmarkEnd w:id="47"/>
    </w:p>
    <w:p w:rsidR="00486CDD" w:rsidRDefault="00486CDD" w:rsidP="003113BE">
      <w:r>
        <w:t xml:space="preserve">Wittig, Beth (2010). </w:t>
      </w:r>
      <w:r>
        <w:rPr>
          <w:i/>
        </w:rPr>
        <w:t>Environmental Impact Assessment</w:t>
      </w:r>
      <w:r>
        <w:t>. Prepublication manuscript version 2.0.</w:t>
      </w:r>
    </w:p>
    <w:p w:rsidR="00CA566A" w:rsidRDefault="00CA566A">
      <w:pPr>
        <w:rPr>
          <w:smallCaps/>
          <w:spacing w:val="5"/>
          <w:sz w:val="36"/>
          <w:szCs w:val="36"/>
        </w:rPr>
      </w:pPr>
      <w:bookmarkStart w:id="48" w:name="_Toc290524347"/>
      <w:r>
        <w:br w:type="page"/>
      </w:r>
    </w:p>
    <w:p w:rsidR="000A0387" w:rsidRPr="00BF0606" w:rsidRDefault="000A0387" w:rsidP="00BF0606">
      <w:pPr>
        <w:pStyle w:val="Heading1"/>
      </w:pPr>
      <w:bookmarkStart w:id="49" w:name="_Toc292629351"/>
      <w:r>
        <w:lastRenderedPageBreak/>
        <w:t>Appendix A: Commercial solid waste generation data, business survey</w:t>
      </w:r>
      <w:bookmarkEnd w:id="48"/>
      <w:bookmarkEnd w:id="49"/>
    </w:p>
    <w:tbl>
      <w:tblPr>
        <w:tblW w:w="12257" w:type="dxa"/>
        <w:tblInd w:w="93" w:type="dxa"/>
        <w:tblLook w:val="04A0" w:firstRow="1" w:lastRow="0" w:firstColumn="1" w:lastColumn="0" w:noHBand="0" w:noVBand="1"/>
      </w:tblPr>
      <w:tblGrid>
        <w:gridCol w:w="2355"/>
        <w:gridCol w:w="742"/>
        <w:gridCol w:w="438"/>
        <w:gridCol w:w="360"/>
        <w:gridCol w:w="439"/>
        <w:gridCol w:w="297"/>
        <w:gridCol w:w="1414"/>
        <w:gridCol w:w="231"/>
        <w:gridCol w:w="360"/>
        <w:gridCol w:w="277"/>
        <w:gridCol w:w="2565"/>
        <w:gridCol w:w="2779"/>
      </w:tblGrid>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Benjamin Conable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USE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RATE</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 of  BUSINESSES</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EMPLOYEES</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MSW</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Office Building</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35</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455</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25 med emp.</w:t>
            </w: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Single Offices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15</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135</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Wholesale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66</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264</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General Retail</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79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9</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29</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2291</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Restaurants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251</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6</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1506</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Fast Food</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200</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28</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5600</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Food Stores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284</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6</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66</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18744</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27</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28995</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JUBAIR UDDIN</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Business Classification</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Rate</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Businesses</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Employees</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MSW</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GENERAL REAIL STORE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79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15</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40</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3160</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RESTURAUNTS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251</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15</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3765</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 xml:space="preserve"> FAST FOOD</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200</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5</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1000</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FOOD STORE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284</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7</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19</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5396</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SINGLE OFFICES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12</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108</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OFFICE BUIDLING</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169</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 med emp</w:t>
            </w: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13598</w:t>
            </w: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BF0606">
            <w:pPr>
              <w:rPr>
                <w:rFonts w:ascii="Verdana" w:eastAsia="Times New Roman" w:hAnsi="Verdana"/>
                <w:sz w:val="20"/>
                <w:szCs w:val="20"/>
              </w:rPr>
            </w:pPr>
            <w:r w:rsidRPr="00681CB6">
              <w:rPr>
                <w:rFonts w:ascii="Verdana" w:eastAsia="Times New Roman" w:hAnsi="Verdana"/>
                <w:sz w:val="20"/>
                <w:szCs w:val="20"/>
              </w:rPr>
              <w:t>Sebastian</w:t>
            </w:r>
            <w:r w:rsidR="00BF0606">
              <w:rPr>
                <w:rFonts w:ascii="Verdana" w:eastAsia="Times New Roman" w:hAnsi="Verdana"/>
                <w:sz w:val="20"/>
                <w:szCs w:val="20"/>
              </w:rPr>
              <w:t xml:space="preserve"> </w:t>
            </w:r>
            <w:r w:rsidR="00BF0606" w:rsidRPr="00681CB6">
              <w:rPr>
                <w:rFonts w:ascii="Verdana" w:eastAsia="Times New Roman" w:hAnsi="Verdana"/>
                <w:sz w:val="20"/>
                <w:szCs w:val="20"/>
              </w:rPr>
              <w:t>Tinazzi</w:t>
            </w:r>
            <w:r w:rsidRPr="00681CB6">
              <w:rPr>
                <w:rFonts w:ascii="Verdana" w:eastAsia="Times New Roman" w:hAnsi="Verdana"/>
                <w:sz w:val="20"/>
                <w:szCs w:val="20"/>
              </w:rPr>
              <w:t xml:space="preserve"> </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USE</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RATE</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Employee</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MSW</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Office Building</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13</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15</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195</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19 med emp.</w:t>
            </w: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Single Offices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36</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General Retail</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79</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49</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3871</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Restaurants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251</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26</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6526</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Fast Food</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200</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800</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Food Stores</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284</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36</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10224</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Elem. School</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w:t>
            </w: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571</w:t>
            </w: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2284</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48</w:t>
            </w: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23936</w:t>
            </w: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trHeight w:hRule="exact" w:val="288"/>
        </w:trPr>
        <w:tc>
          <w:tcPr>
            <w:tcW w:w="2355"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1414" w:type="dxa"/>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868" w:type="dxa"/>
            <w:gridSpan w:val="3"/>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c>
          <w:tcPr>
            <w:tcW w:w="5344" w:type="dxa"/>
            <w:gridSpan w:val="2"/>
            <w:tcBorders>
              <w:top w:val="nil"/>
              <w:left w:val="nil"/>
              <w:bottom w:val="nil"/>
              <w:right w:val="nil"/>
            </w:tcBorders>
            <w:shd w:val="clear" w:color="auto" w:fill="auto"/>
            <w:noWrap/>
            <w:vAlign w:val="bottom"/>
          </w:tcPr>
          <w:p w:rsidR="00681CB6" w:rsidRPr="00681CB6" w:rsidRDefault="00681CB6" w:rsidP="00681CB6">
            <w:pPr>
              <w:rPr>
                <w:rFonts w:ascii="Verdana" w:eastAsia="Times New Roman" w:hAnsi="Verdana"/>
                <w:sz w:val="20"/>
                <w:szCs w:val="20"/>
              </w:rPr>
            </w:pPr>
          </w:p>
        </w:tc>
      </w:tr>
      <w:tr w:rsidR="00681CB6" w:rsidRPr="00681CB6" w:rsidTr="003113BE">
        <w:trPr>
          <w:gridAfter w:val="7"/>
          <w:wAfter w:w="7923" w:type="dxa"/>
          <w:trHeight w:hRule="exact" w:val="288"/>
        </w:trPr>
        <w:tc>
          <w:tcPr>
            <w:tcW w:w="2355" w:type="dxa"/>
            <w:tcBorders>
              <w:top w:val="nil"/>
              <w:left w:val="nil"/>
              <w:bottom w:val="single" w:sz="8" w:space="0" w:color="auto"/>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Ksenia Shikhmacheva</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438"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439"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USE</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RATE</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Employee</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Total MSW</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Office Building</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13</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45</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585</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40 med emp.</w:t>
            </w: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Single Offices</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9</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11</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99</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General Retail</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79</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23</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1817</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Restaurants</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251</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6</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1506</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Fast Food</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200</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6</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1200</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r w:rsidRPr="00681CB6">
              <w:rPr>
                <w:rFonts w:ascii="Verdana" w:eastAsia="Times New Roman" w:hAnsi="Verdana"/>
                <w:sz w:val="20"/>
                <w:szCs w:val="20"/>
              </w:rPr>
              <w:t>Food Stores</w:t>
            </w:r>
          </w:p>
        </w:tc>
        <w:tc>
          <w:tcPr>
            <w:tcW w:w="742" w:type="dxa"/>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284</w:t>
            </w: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25</w:t>
            </w: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7100</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r w:rsidR="00681CB6" w:rsidRPr="00681CB6" w:rsidTr="003113BE">
        <w:trPr>
          <w:gridAfter w:val="1"/>
          <w:wAfter w:w="2779" w:type="dxa"/>
          <w:trHeight w:hRule="exact" w:val="288"/>
        </w:trPr>
        <w:tc>
          <w:tcPr>
            <w:tcW w:w="2355"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742"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1534" w:type="dxa"/>
            <w:gridSpan w:val="4"/>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1645" w:type="dxa"/>
            <w:gridSpan w:val="2"/>
            <w:tcBorders>
              <w:top w:val="nil"/>
              <w:left w:val="nil"/>
              <w:bottom w:val="nil"/>
              <w:right w:val="nil"/>
            </w:tcBorders>
            <w:shd w:val="clear" w:color="auto" w:fill="auto"/>
            <w:noWrap/>
            <w:vAlign w:val="bottom"/>
            <w:hideMark/>
          </w:tcPr>
          <w:p w:rsidR="00681CB6" w:rsidRPr="00681CB6" w:rsidRDefault="00681CB6" w:rsidP="00681CB6">
            <w:pPr>
              <w:jc w:val="right"/>
              <w:rPr>
                <w:rFonts w:ascii="Verdana" w:eastAsia="Times New Roman" w:hAnsi="Verdana"/>
                <w:sz w:val="20"/>
                <w:szCs w:val="20"/>
              </w:rPr>
            </w:pPr>
            <w:r w:rsidRPr="00681CB6">
              <w:rPr>
                <w:rFonts w:ascii="Verdana" w:eastAsia="Times New Roman" w:hAnsi="Verdana"/>
                <w:sz w:val="20"/>
                <w:szCs w:val="20"/>
              </w:rPr>
              <w:t>12307</w:t>
            </w:r>
          </w:p>
        </w:tc>
        <w:tc>
          <w:tcPr>
            <w:tcW w:w="360" w:type="dxa"/>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c>
          <w:tcPr>
            <w:tcW w:w="2842" w:type="dxa"/>
            <w:gridSpan w:val="2"/>
            <w:tcBorders>
              <w:top w:val="nil"/>
              <w:left w:val="nil"/>
              <w:bottom w:val="nil"/>
              <w:right w:val="nil"/>
            </w:tcBorders>
            <w:shd w:val="clear" w:color="auto" w:fill="auto"/>
            <w:noWrap/>
            <w:vAlign w:val="bottom"/>
            <w:hideMark/>
          </w:tcPr>
          <w:p w:rsidR="00681CB6" w:rsidRPr="00681CB6" w:rsidRDefault="00681CB6" w:rsidP="00681CB6">
            <w:pPr>
              <w:rPr>
                <w:rFonts w:ascii="Verdana" w:eastAsia="Times New Roman" w:hAnsi="Verdana"/>
                <w:sz w:val="20"/>
                <w:szCs w:val="20"/>
              </w:rPr>
            </w:pPr>
          </w:p>
        </w:tc>
      </w:tr>
    </w:tbl>
    <w:p w:rsidR="00E66B56" w:rsidRPr="00A01282" w:rsidRDefault="00E66B56" w:rsidP="00E66B56">
      <w:pPr>
        <w:pStyle w:val="Heading1"/>
      </w:pPr>
      <w:bookmarkStart w:id="50" w:name="_Toc292629352"/>
      <w:r>
        <w:lastRenderedPageBreak/>
        <w:t>Appendix B: Solid Waste Group meeting minutes</w:t>
      </w:r>
      <w:bookmarkEnd w:id="50"/>
    </w:p>
    <w:p w:rsidR="00F15258" w:rsidRPr="00F15258" w:rsidRDefault="00F15258" w:rsidP="00F15258">
      <w:pPr>
        <w:rPr>
          <w:sz w:val="28"/>
          <w:szCs w:val="28"/>
        </w:rPr>
      </w:pPr>
      <w:r w:rsidRPr="00F15258">
        <w:rPr>
          <w:sz w:val="28"/>
          <w:szCs w:val="28"/>
        </w:rPr>
        <w:t xml:space="preserve">First Meeting on 02/09/2011 </w:t>
      </w:r>
    </w:p>
    <w:p w:rsidR="00F15258" w:rsidRPr="00F15258" w:rsidRDefault="00F15258" w:rsidP="00F15258">
      <w:pPr>
        <w:rPr>
          <w:sz w:val="24"/>
          <w:szCs w:val="24"/>
        </w:rPr>
      </w:pPr>
      <w:r w:rsidRPr="00F15258">
        <w:rPr>
          <w:sz w:val="24"/>
          <w:szCs w:val="24"/>
        </w:rPr>
        <w:t>8.30 AM - 9.15AM</w:t>
      </w:r>
    </w:p>
    <w:p w:rsidR="00F15258" w:rsidRDefault="00F15258" w:rsidP="00F15258">
      <w:pPr>
        <w:jc w:val="both"/>
      </w:pPr>
      <w:r w:rsidRPr="006E7137">
        <w:t xml:space="preserve">The meeting was called by </w:t>
      </w:r>
      <w:r>
        <w:t>Sebastian to meet on Wednesday, February 9</w:t>
      </w:r>
      <w:r w:rsidRPr="00085EE2">
        <w:rPr>
          <w:vertAlign w:val="superscript"/>
        </w:rPr>
        <w:t>th</w:t>
      </w:r>
      <w:r>
        <w:t xml:space="preserve">, 2011 at 8.30 AM in the classroom. The following persons were present on the meeting: Sebastian Tinazzi, Ksenia Shikhmacheva and Benjamin Conable. Jubair Uddin was absent. The meeting lasted 45 minutes. Minutes were taken and submitted by Ksenia Shikhmacheva. </w:t>
      </w:r>
    </w:p>
    <w:p w:rsidR="00F15258" w:rsidRDefault="00F15258" w:rsidP="00F15258">
      <w:pPr>
        <w:numPr>
          <w:ilvl w:val="0"/>
          <w:numId w:val="23"/>
        </w:numPr>
        <w:spacing w:after="0" w:line="240" w:lineRule="auto"/>
        <w:jc w:val="both"/>
      </w:pPr>
      <w:r>
        <w:t xml:space="preserve">At the beginning of the meeting, the roles were defined as </w:t>
      </w:r>
    </w:p>
    <w:p w:rsidR="00F15258" w:rsidRDefault="00F15258" w:rsidP="00394301">
      <w:pPr>
        <w:ind w:left="360" w:firstLine="1080"/>
        <w:jc w:val="both"/>
      </w:pPr>
      <w:r>
        <w:t>Sebastian Tinazzi – Project Manager;</w:t>
      </w:r>
    </w:p>
    <w:p w:rsidR="00F15258" w:rsidRDefault="00F15258" w:rsidP="00394301">
      <w:pPr>
        <w:ind w:left="1080" w:firstLine="360"/>
        <w:jc w:val="both"/>
      </w:pPr>
      <w:r>
        <w:t>Benjamin Conable  – Time Keeper;</w:t>
      </w:r>
    </w:p>
    <w:p w:rsidR="00F15258" w:rsidRDefault="00F15258" w:rsidP="00394301">
      <w:pPr>
        <w:ind w:left="360" w:firstLine="1080"/>
        <w:jc w:val="both"/>
      </w:pPr>
      <w:r>
        <w:t>Kse</w:t>
      </w:r>
      <w:r w:rsidR="00394301">
        <w:t xml:space="preserve">nia Shikhmacheva – Note Taker. </w:t>
      </w:r>
    </w:p>
    <w:p w:rsidR="00F15258" w:rsidRDefault="00F15258" w:rsidP="00F15258">
      <w:pPr>
        <w:numPr>
          <w:ilvl w:val="0"/>
          <w:numId w:val="23"/>
        </w:numPr>
        <w:spacing w:after="0" w:line="240" w:lineRule="auto"/>
        <w:jc w:val="both"/>
      </w:pPr>
      <w:r>
        <w:t>Exchange of personal information</w:t>
      </w:r>
    </w:p>
    <w:p w:rsidR="00F15258" w:rsidRDefault="00F15258" w:rsidP="00394301">
      <w:pPr>
        <w:ind w:left="1080" w:firstLine="360"/>
        <w:jc w:val="both"/>
      </w:pPr>
      <w:r>
        <w:t>Sebastian Tinazzi (718)877-4630</w:t>
      </w:r>
      <w:r>
        <w:tab/>
      </w:r>
      <w:r>
        <w:tab/>
      </w:r>
      <w:r w:rsidRPr="000C72DD">
        <w:t>satf10@hotmail.com</w:t>
      </w:r>
    </w:p>
    <w:p w:rsidR="00F15258" w:rsidRDefault="00F15258" w:rsidP="00394301">
      <w:pPr>
        <w:ind w:left="1080" w:firstLine="360"/>
        <w:jc w:val="both"/>
      </w:pPr>
      <w:r>
        <w:t>Benjamin Conable (917)449-0415</w:t>
      </w:r>
      <w:r>
        <w:tab/>
      </w:r>
      <w:r w:rsidRPr="000C72DD">
        <w:t>benconable@mindspring.com</w:t>
      </w:r>
    </w:p>
    <w:p w:rsidR="00F15258" w:rsidRDefault="00F15258" w:rsidP="00394301">
      <w:pPr>
        <w:ind w:left="1080" w:firstLine="360"/>
        <w:jc w:val="both"/>
      </w:pPr>
      <w:r>
        <w:t>Ksenia Shikhamcheva (646)334-3399</w:t>
      </w:r>
      <w:r>
        <w:tab/>
      </w:r>
      <w:r w:rsidRPr="000C72DD">
        <w:t>ks.shik@gmail.com</w:t>
      </w:r>
    </w:p>
    <w:p w:rsidR="00F15258" w:rsidRDefault="00F15258" w:rsidP="00F15258">
      <w:pPr>
        <w:numPr>
          <w:ilvl w:val="0"/>
          <w:numId w:val="23"/>
        </w:numPr>
        <w:spacing w:after="0" w:line="240" w:lineRule="auto"/>
        <w:jc w:val="both"/>
      </w:pPr>
      <w:r>
        <w:t>Rewiew IW1</w:t>
      </w:r>
    </w:p>
    <w:p w:rsidR="00F15258" w:rsidRDefault="00F15258" w:rsidP="00394301">
      <w:pPr>
        <w:ind w:left="1440"/>
        <w:jc w:val="both"/>
      </w:pPr>
      <w:r>
        <w:t>Reading printed individual works. Sebastian expressed the difficulty of writing the first assignment. Ben gave him a feedback, pointing on concentrating on the specific topic. Giving feedback to Ben’s and Ksenia’s pa</w:t>
      </w:r>
      <w:r w:rsidR="00394301">
        <w:t>pers. Discussing Jubair’s work.</w:t>
      </w:r>
    </w:p>
    <w:p w:rsidR="00F15258" w:rsidRDefault="00D13AC6" w:rsidP="00D13AC6">
      <w:pPr>
        <w:spacing w:after="0" w:line="240" w:lineRule="auto"/>
        <w:ind w:left="360" w:firstLine="720"/>
        <w:jc w:val="both"/>
      </w:pPr>
      <w:r>
        <w:sym w:font="Symbol" w:char="F0B7"/>
      </w:r>
      <w:r>
        <w:tab/>
      </w:r>
      <w:r w:rsidR="00F15258">
        <w:t>Discussion</w:t>
      </w:r>
    </w:p>
    <w:p w:rsidR="00F15258" w:rsidRDefault="00F15258" w:rsidP="00F15258">
      <w:pPr>
        <w:numPr>
          <w:ilvl w:val="0"/>
          <w:numId w:val="24"/>
        </w:numPr>
        <w:spacing w:after="0" w:line="240" w:lineRule="auto"/>
        <w:jc w:val="both"/>
      </w:pPr>
      <w:r>
        <w:t xml:space="preserve">Defying the object of the project in more specific terms. </w:t>
      </w:r>
    </w:p>
    <w:p w:rsidR="00F15258" w:rsidRDefault="00F15258" w:rsidP="00F15258">
      <w:pPr>
        <w:numPr>
          <w:ilvl w:val="0"/>
          <w:numId w:val="24"/>
        </w:numPr>
        <w:spacing w:after="0" w:line="240" w:lineRule="auto"/>
        <w:jc w:val="both"/>
      </w:pPr>
      <w:r>
        <w:t>Deciding to work on the project in “real time” - writing the parts of it during the semester, not leaving to the end.</w:t>
      </w:r>
    </w:p>
    <w:p w:rsidR="00F15258" w:rsidRDefault="00F15258" w:rsidP="00F15258">
      <w:pPr>
        <w:numPr>
          <w:ilvl w:val="0"/>
          <w:numId w:val="24"/>
        </w:numPr>
        <w:spacing w:after="0" w:line="240" w:lineRule="auto"/>
        <w:jc w:val="both"/>
      </w:pPr>
      <w:r>
        <w:t>Ben formulated “special waste” issue</w:t>
      </w:r>
    </w:p>
    <w:p w:rsidR="00F15258" w:rsidRDefault="00F15258" w:rsidP="00F15258">
      <w:pPr>
        <w:numPr>
          <w:ilvl w:val="0"/>
          <w:numId w:val="24"/>
        </w:numPr>
        <w:spacing w:after="0" w:line="240" w:lineRule="auto"/>
        <w:jc w:val="both"/>
      </w:pPr>
      <w:r>
        <w:t>Sebastian proposed some improvements to reduce solid waste which should be in the paper (for example, more hand dryers in the bathrooms).</w:t>
      </w:r>
    </w:p>
    <w:p w:rsidR="00F15258" w:rsidRDefault="00F15258" w:rsidP="00F15258">
      <w:pPr>
        <w:numPr>
          <w:ilvl w:val="0"/>
          <w:numId w:val="24"/>
        </w:numPr>
        <w:spacing w:after="0" w:line="240" w:lineRule="auto"/>
        <w:jc w:val="both"/>
      </w:pPr>
      <w:r>
        <w:t>Ben discussed the food waste from private vendors.</w:t>
      </w:r>
    </w:p>
    <w:p w:rsidR="00F15258" w:rsidRDefault="00F15258" w:rsidP="00F15258">
      <w:pPr>
        <w:numPr>
          <w:ilvl w:val="0"/>
          <w:numId w:val="24"/>
        </w:numPr>
        <w:spacing w:after="0" w:line="240" w:lineRule="auto"/>
        <w:jc w:val="both"/>
      </w:pPr>
      <w:r>
        <w:t>Ksenia suggested proposing a compos</w:t>
      </w:r>
      <w:r w:rsidR="00D13AC6">
        <w:t>t</w:t>
      </w:r>
      <w:r>
        <w:t>ing area in the project.</w:t>
      </w:r>
    </w:p>
    <w:p w:rsidR="00F15258" w:rsidRDefault="00F15258" w:rsidP="00F15258">
      <w:pPr>
        <w:numPr>
          <w:ilvl w:val="0"/>
          <w:numId w:val="24"/>
        </w:numPr>
        <w:spacing w:after="0" w:line="240" w:lineRule="auto"/>
        <w:jc w:val="both"/>
      </w:pPr>
      <w:r>
        <w:t>Ben considered solid waste management for Towers.</w:t>
      </w:r>
    </w:p>
    <w:p w:rsidR="00F15258" w:rsidRDefault="00F15258" w:rsidP="00F15258">
      <w:pPr>
        <w:ind w:left="1080"/>
        <w:jc w:val="both"/>
      </w:pPr>
    </w:p>
    <w:p w:rsidR="00F15258" w:rsidRDefault="00D13AC6" w:rsidP="00D13AC6">
      <w:pPr>
        <w:spacing w:after="0" w:line="240" w:lineRule="auto"/>
        <w:ind w:left="360" w:firstLine="720"/>
        <w:jc w:val="both"/>
      </w:pPr>
      <w:r>
        <w:sym w:font="Symbol" w:char="F0B7"/>
      </w:r>
      <w:r>
        <w:tab/>
      </w:r>
      <w:r w:rsidR="00F15258">
        <w:t>Agenda for the second meeting</w:t>
      </w:r>
    </w:p>
    <w:p w:rsidR="00F15258" w:rsidRDefault="00F15258" w:rsidP="00394301">
      <w:pPr>
        <w:ind w:left="1440"/>
        <w:jc w:val="both"/>
      </w:pPr>
      <w:r>
        <w:t>It was decided the second meeting will take place on Wednesday, February 16</w:t>
      </w:r>
      <w:r w:rsidRPr="00D83970">
        <w:rPr>
          <w:vertAlign w:val="superscript"/>
        </w:rPr>
        <w:t>th</w:t>
      </w:r>
      <w:r>
        <w:t>, 2011 at 8.30AM. All members will be reminded personally and via email.</w:t>
      </w:r>
    </w:p>
    <w:p w:rsidR="00F15258" w:rsidRDefault="00D13AC6" w:rsidP="00F15258">
      <w:pPr>
        <w:numPr>
          <w:ilvl w:val="0"/>
          <w:numId w:val="25"/>
        </w:numPr>
        <w:spacing w:after="0" w:line="240" w:lineRule="auto"/>
        <w:jc w:val="both"/>
      </w:pPr>
      <w:r>
        <w:t>Review comments for IW2</w:t>
      </w:r>
      <w:r w:rsidR="00F15258">
        <w:t xml:space="preserve"> of each group member.</w:t>
      </w:r>
    </w:p>
    <w:p w:rsidR="00F15258" w:rsidRDefault="00F15258" w:rsidP="00F15258">
      <w:pPr>
        <w:numPr>
          <w:ilvl w:val="0"/>
          <w:numId w:val="25"/>
        </w:numPr>
        <w:spacing w:after="0" w:line="240" w:lineRule="auto"/>
        <w:jc w:val="both"/>
      </w:pPr>
      <w:r>
        <w:t>Discussing final version for Objective and Introduction parts.</w:t>
      </w:r>
    </w:p>
    <w:p w:rsidR="00F15258" w:rsidRDefault="00F15258" w:rsidP="00F15258">
      <w:pPr>
        <w:numPr>
          <w:ilvl w:val="0"/>
          <w:numId w:val="25"/>
        </w:numPr>
        <w:spacing w:after="0" w:line="240" w:lineRule="auto"/>
        <w:jc w:val="both"/>
      </w:pPr>
      <w:r>
        <w:t xml:space="preserve">Discussing the ways of proceeding experiments relative to the project (what is important, which data can be collected, how to analyze it). </w:t>
      </w:r>
    </w:p>
    <w:p w:rsidR="00F15258" w:rsidRDefault="00F15258" w:rsidP="00F15258">
      <w:pPr>
        <w:numPr>
          <w:ilvl w:val="0"/>
          <w:numId w:val="25"/>
        </w:numPr>
        <w:spacing w:after="0" w:line="240" w:lineRule="auto"/>
        <w:jc w:val="both"/>
      </w:pPr>
      <w:r>
        <w:t>Preparing questions to ask Pr</w:t>
      </w:r>
      <w:r w:rsidR="00D13AC6">
        <w:t>ofessor</w:t>
      </w:r>
      <w:r>
        <w:t xml:space="preserve"> Wittig in class. </w:t>
      </w:r>
    </w:p>
    <w:p w:rsidR="00F15258" w:rsidRDefault="00F15258" w:rsidP="00F15258">
      <w:pPr>
        <w:jc w:val="both"/>
      </w:pPr>
      <w:r>
        <w:lastRenderedPageBreak/>
        <w:t>At the next meeting, the roles will be assigned as following:</w:t>
      </w:r>
    </w:p>
    <w:p w:rsidR="00F15258" w:rsidRDefault="00F15258" w:rsidP="00F15258">
      <w:pPr>
        <w:jc w:val="both"/>
      </w:pPr>
      <w:r>
        <w:t>Benjamin Conable – Facilitator;</w:t>
      </w:r>
    </w:p>
    <w:p w:rsidR="00F15258" w:rsidRDefault="00F15258" w:rsidP="00F15258">
      <w:pPr>
        <w:jc w:val="both"/>
      </w:pPr>
      <w:r>
        <w:t>Sebastian Tinazzi – Note taker;</w:t>
      </w:r>
    </w:p>
    <w:p w:rsidR="00F15258" w:rsidRDefault="00F15258" w:rsidP="00F15258">
      <w:pPr>
        <w:jc w:val="both"/>
      </w:pPr>
      <w:r>
        <w:t>Ksenia Shikhmacheva– Project Manager;</w:t>
      </w:r>
    </w:p>
    <w:p w:rsidR="00F15258" w:rsidRDefault="00F15258" w:rsidP="00F15258">
      <w:pPr>
        <w:jc w:val="both"/>
      </w:pPr>
      <w:r>
        <w:t xml:space="preserve">Jubair Uddin  – Time keeper. </w:t>
      </w:r>
    </w:p>
    <w:p w:rsidR="00F15258" w:rsidRDefault="00F15258" w:rsidP="00E66B56">
      <w:pPr>
        <w:rPr>
          <w:sz w:val="28"/>
          <w:szCs w:val="28"/>
        </w:rPr>
      </w:pPr>
    </w:p>
    <w:p w:rsidR="00394301" w:rsidRPr="00394301" w:rsidRDefault="00394301" w:rsidP="00394301">
      <w:pPr>
        <w:rPr>
          <w:sz w:val="28"/>
          <w:szCs w:val="28"/>
        </w:rPr>
      </w:pPr>
      <w:r w:rsidRPr="00394301">
        <w:rPr>
          <w:sz w:val="28"/>
          <w:szCs w:val="28"/>
        </w:rPr>
        <w:t xml:space="preserve">Second Meeting on 03/03/2011 </w:t>
      </w:r>
    </w:p>
    <w:p w:rsidR="00394301" w:rsidRPr="00394301" w:rsidRDefault="00394301" w:rsidP="00394301">
      <w:pPr>
        <w:rPr>
          <w:sz w:val="24"/>
          <w:szCs w:val="24"/>
        </w:rPr>
      </w:pPr>
      <w:r w:rsidRPr="00394301">
        <w:rPr>
          <w:sz w:val="24"/>
          <w:szCs w:val="24"/>
        </w:rPr>
        <w:t>12.30 PM - 1.30 PM</w:t>
      </w:r>
    </w:p>
    <w:p w:rsidR="00394301" w:rsidRDefault="00394301" w:rsidP="00394301">
      <w:pPr>
        <w:jc w:val="both"/>
      </w:pPr>
      <w:r w:rsidRPr="006E7137">
        <w:t xml:space="preserve">The meeting was called by </w:t>
      </w:r>
      <w:r>
        <w:t>the whole team to meet on Thursday, March 3</w:t>
      </w:r>
      <w:r>
        <w:rPr>
          <w:vertAlign w:val="superscript"/>
        </w:rPr>
        <w:t>rd</w:t>
      </w:r>
      <w:r>
        <w:t xml:space="preserve">, 2011 at 12.30 PM in the library of Marshak Science Building. Every member of the team was present and on time. The meeting lasted 60 minutes. Minutes were taken and submitted by Jubair Uddin. </w:t>
      </w:r>
    </w:p>
    <w:p w:rsidR="00394301" w:rsidRDefault="00394301" w:rsidP="00394301">
      <w:pPr>
        <w:numPr>
          <w:ilvl w:val="0"/>
          <w:numId w:val="23"/>
        </w:numPr>
        <w:spacing w:after="0" w:line="240" w:lineRule="auto"/>
        <w:jc w:val="both"/>
      </w:pPr>
      <w:r>
        <w:t xml:space="preserve">At the beginning of the meeting, the roles were defined as </w:t>
      </w:r>
    </w:p>
    <w:p w:rsidR="00394301" w:rsidRDefault="00394301" w:rsidP="00394301">
      <w:pPr>
        <w:ind w:left="360" w:firstLine="1080"/>
        <w:jc w:val="both"/>
      </w:pPr>
      <w:r>
        <w:t>Sebastian Tinazzi – Note taker;</w:t>
      </w:r>
    </w:p>
    <w:p w:rsidR="00394301" w:rsidRDefault="00394301" w:rsidP="00394301">
      <w:pPr>
        <w:ind w:left="1080" w:firstLine="360"/>
        <w:jc w:val="both"/>
      </w:pPr>
      <w:r>
        <w:t>Benjamin Conable – Facilitator;</w:t>
      </w:r>
    </w:p>
    <w:p w:rsidR="00394301" w:rsidRDefault="00394301" w:rsidP="00394301">
      <w:pPr>
        <w:ind w:left="360" w:firstLine="1080"/>
        <w:jc w:val="both"/>
      </w:pPr>
      <w:r>
        <w:t>Ksenia Shikhmacheva – Team Leader;</w:t>
      </w:r>
    </w:p>
    <w:p w:rsidR="00394301" w:rsidRDefault="00394301" w:rsidP="00394301">
      <w:pPr>
        <w:ind w:left="360" w:firstLine="1080"/>
        <w:jc w:val="both"/>
      </w:pPr>
      <w:r>
        <w:t>Jubair Uddin – Time keeper.</w:t>
      </w:r>
    </w:p>
    <w:p w:rsidR="00394301" w:rsidRPr="00D13AC6" w:rsidRDefault="00D13AC6" w:rsidP="00D13AC6">
      <w:pPr>
        <w:ind w:firstLine="720"/>
        <w:jc w:val="both"/>
        <w:rPr>
          <w:sz w:val="24"/>
          <w:szCs w:val="24"/>
        </w:rPr>
      </w:pPr>
      <w:r w:rsidRPr="00D13AC6">
        <w:rPr>
          <w:sz w:val="24"/>
          <w:szCs w:val="24"/>
        </w:rPr>
        <w:t>Agenda</w:t>
      </w:r>
    </w:p>
    <w:p w:rsidR="00D13AC6" w:rsidRDefault="00D13AC6" w:rsidP="00D13AC6">
      <w:pPr>
        <w:numPr>
          <w:ilvl w:val="0"/>
          <w:numId w:val="29"/>
        </w:numPr>
        <w:spacing w:after="0" w:line="240" w:lineRule="auto"/>
        <w:jc w:val="both"/>
      </w:pPr>
      <w:r>
        <w:t>Review comments for IW2 of each group member.</w:t>
      </w:r>
    </w:p>
    <w:p w:rsidR="00D13AC6" w:rsidRDefault="00D13AC6" w:rsidP="00D13AC6">
      <w:pPr>
        <w:numPr>
          <w:ilvl w:val="0"/>
          <w:numId w:val="29"/>
        </w:numPr>
        <w:spacing w:after="0" w:line="240" w:lineRule="auto"/>
        <w:jc w:val="both"/>
      </w:pPr>
      <w:r>
        <w:t>Discussing final version for Objective and Introduction parts.</w:t>
      </w:r>
    </w:p>
    <w:p w:rsidR="00D13AC6" w:rsidRDefault="00D13AC6" w:rsidP="00D13AC6">
      <w:pPr>
        <w:numPr>
          <w:ilvl w:val="0"/>
          <w:numId w:val="29"/>
        </w:numPr>
        <w:spacing w:after="0" w:line="240" w:lineRule="auto"/>
        <w:jc w:val="both"/>
      </w:pPr>
      <w:r>
        <w:t xml:space="preserve">Discussing the ways of proceeding experiments relative to the project (what is important, which data can be collected, how to analyze it). </w:t>
      </w:r>
    </w:p>
    <w:p w:rsidR="00D13AC6" w:rsidRDefault="00D13AC6" w:rsidP="00D13AC6">
      <w:pPr>
        <w:numPr>
          <w:ilvl w:val="0"/>
          <w:numId w:val="29"/>
        </w:numPr>
        <w:spacing w:after="0" w:line="240" w:lineRule="auto"/>
        <w:jc w:val="both"/>
      </w:pPr>
      <w:r>
        <w:t xml:space="preserve">Preparing questions to ask Professor Wittig in class. </w:t>
      </w:r>
    </w:p>
    <w:p w:rsidR="00D13AC6" w:rsidRDefault="00D13AC6" w:rsidP="00394301">
      <w:pPr>
        <w:jc w:val="both"/>
      </w:pPr>
    </w:p>
    <w:p w:rsidR="00394301" w:rsidRDefault="00394301" w:rsidP="00394301">
      <w:pPr>
        <w:numPr>
          <w:ilvl w:val="0"/>
          <w:numId w:val="23"/>
        </w:numPr>
        <w:spacing w:after="0" w:line="240" w:lineRule="auto"/>
        <w:jc w:val="both"/>
      </w:pPr>
      <w:r>
        <w:t>Rewiew IW2</w:t>
      </w:r>
    </w:p>
    <w:p w:rsidR="00394301" w:rsidRDefault="00394301" w:rsidP="00394301">
      <w:pPr>
        <w:ind w:left="1440"/>
        <w:jc w:val="both"/>
      </w:pPr>
      <w:r>
        <w:t xml:space="preserve">Reading printed individual works. Benjamin discussed how he thought that the way he layout out his assignment was not as “clean” as the other team members. The team discussed for a few moments that Benjamin’s part was similar to our third individual assignment than our second assignment.  Sebastian and Ksenia asked Benjamin about the number of students that was chosen for Marshak building. Benjamin explained that even though that number didn’t resemble the number of occupancy (number used was enrollment of semester) of the building, that number was the “highest” number possible for the building and it didn’t exceed the threshold value of 50 tons/week of solid waste. The different calculations done by each member were checked and Sebastian expressed that he thought that his numbers were too big. Benjamin and Ksenia explained that the squared footage </w:t>
      </w:r>
      <w:r>
        <w:lastRenderedPageBreak/>
        <w:t>used was the wrong one. Ksenia asked Jubair why did he separated students into different categories (grad, part time, full time), Jubair explained that he didn’t realized that the calculation was already done in the DEIS. Ksenia mentioned that the assumption by Benjamin that net waste from the proposed project will not be zero but it will be much more less for our project since the commercial waste will be gone.</w:t>
      </w:r>
    </w:p>
    <w:p w:rsidR="00394301" w:rsidRDefault="00394301" w:rsidP="00394301">
      <w:pPr>
        <w:ind w:left="1080"/>
        <w:jc w:val="both"/>
      </w:pPr>
    </w:p>
    <w:p w:rsidR="00394301" w:rsidRDefault="00394301" w:rsidP="00394301">
      <w:pPr>
        <w:numPr>
          <w:ilvl w:val="0"/>
          <w:numId w:val="23"/>
        </w:numPr>
        <w:spacing w:after="0" w:line="240" w:lineRule="auto"/>
        <w:jc w:val="both"/>
      </w:pPr>
      <w:r>
        <w:t>Discussion</w:t>
      </w:r>
    </w:p>
    <w:p w:rsidR="00394301" w:rsidRDefault="00394301" w:rsidP="00394301">
      <w:pPr>
        <w:pStyle w:val="ListParagraph"/>
        <w:numPr>
          <w:ilvl w:val="0"/>
          <w:numId w:val="27"/>
        </w:numPr>
        <w:spacing w:after="0" w:line="240" w:lineRule="auto"/>
        <w:jc w:val="both"/>
      </w:pPr>
      <w:r>
        <w:t xml:space="preserve">Defying the area of the project in more specific zones. </w:t>
      </w:r>
    </w:p>
    <w:p w:rsidR="00394301" w:rsidRDefault="00394301" w:rsidP="00394301">
      <w:pPr>
        <w:pStyle w:val="ListParagraph"/>
        <w:numPr>
          <w:ilvl w:val="0"/>
          <w:numId w:val="27"/>
        </w:numPr>
        <w:spacing w:after="0" w:line="240" w:lineRule="auto"/>
        <w:jc w:val="both"/>
      </w:pPr>
      <w:r>
        <w:t>Deciding to work divided new area into four sub-zones and assigning one to each team member.</w:t>
      </w:r>
    </w:p>
    <w:p w:rsidR="00394301" w:rsidRDefault="00394301" w:rsidP="00394301">
      <w:pPr>
        <w:numPr>
          <w:ilvl w:val="0"/>
          <w:numId w:val="27"/>
        </w:numPr>
        <w:spacing w:after="0" w:line="240" w:lineRule="auto"/>
        <w:jc w:val="both"/>
      </w:pPr>
      <w:r>
        <w:t>Ksenia formulated a table for data collection.</w:t>
      </w:r>
    </w:p>
    <w:p w:rsidR="00394301" w:rsidRDefault="00394301" w:rsidP="00394301">
      <w:pPr>
        <w:numPr>
          <w:ilvl w:val="0"/>
          <w:numId w:val="27"/>
        </w:numPr>
        <w:spacing w:after="0" w:line="240" w:lineRule="auto"/>
        <w:jc w:val="both"/>
      </w:pPr>
      <w:r>
        <w:t>Benjamin discussed florescent tubes once more and mentioned that he was about to finished his analysis and was going to provide the data in the next meeting.</w:t>
      </w:r>
    </w:p>
    <w:p w:rsidR="00394301" w:rsidRDefault="00394301" w:rsidP="00394301">
      <w:pPr>
        <w:numPr>
          <w:ilvl w:val="0"/>
          <w:numId w:val="27"/>
        </w:numPr>
        <w:spacing w:after="0" w:line="240" w:lineRule="auto"/>
        <w:jc w:val="both"/>
      </w:pPr>
      <w:r>
        <w:t>Sebastian wonder if the swimming pool was going to cause any waste, the team decided that it wasn’t relevant.</w:t>
      </w:r>
    </w:p>
    <w:p w:rsidR="00394301" w:rsidRDefault="00394301" w:rsidP="00394301">
      <w:pPr>
        <w:numPr>
          <w:ilvl w:val="0"/>
          <w:numId w:val="27"/>
        </w:numPr>
        <w:spacing w:after="0" w:line="240" w:lineRule="auto"/>
        <w:jc w:val="both"/>
      </w:pPr>
      <w:r>
        <w:t>It was decided that the survey to collect data it’s going to be part of the appendix.</w:t>
      </w:r>
    </w:p>
    <w:p w:rsidR="00394301" w:rsidRDefault="00394301" w:rsidP="00394301">
      <w:pPr>
        <w:ind w:left="1080"/>
        <w:jc w:val="both"/>
      </w:pPr>
    </w:p>
    <w:p w:rsidR="00394301" w:rsidRDefault="00394301" w:rsidP="00394301">
      <w:pPr>
        <w:tabs>
          <w:tab w:val="num" w:pos="1080"/>
        </w:tabs>
        <w:spacing w:after="0" w:line="240" w:lineRule="auto"/>
        <w:jc w:val="both"/>
      </w:pPr>
      <w:r>
        <w:tab/>
        <w:t>Agenda for the third meeting</w:t>
      </w:r>
    </w:p>
    <w:p w:rsidR="00394301" w:rsidRDefault="00394301" w:rsidP="00394301">
      <w:pPr>
        <w:ind w:left="1440"/>
        <w:jc w:val="both"/>
      </w:pPr>
      <w:r>
        <w:t>It was decided that the third meeting will take place on Thursday, March 17</w:t>
      </w:r>
      <w:r w:rsidRPr="00D83970">
        <w:rPr>
          <w:vertAlign w:val="superscript"/>
        </w:rPr>
        <w:t>th</w:t>
      </w:r>
      <w:r>
        <w:t>, 2011 at 12.30 PM. All members will be reminded personally and via email.</w:t>
      </w:r>
    </w:p>
    <w:p w:rsidR="00394301" w:rsidRDefault="00394301" w:rsidP="00394301">
      <w:pPr>
        <w:pStyle w:val="ListParagraph"/>
        <w:numPr>
          <w:ilvl w:val="0"/>
          <w:numId w:val="28"/>
        </w:numPr>
        <w:spacing w:after="0" w:line="240" w:lineRule="auto"/>
        <w:jc w:val="both"/>
      </w:pPr>
      <w:r>
        <w:t>Review comments for IW3 of each group member.</w:t>
      </w:r>
    </w:p>
    <w:p w:rsidR="00394301" w:rsidRDefault="00394301" w:rsidP="00394301">
      <w:pPr>
        <w:numPr>
          <w:ilvl w:val="0"/>
          <w:numId w:val="28"/>
        </w:numPr>
        <w:spacing w:after="0" w:line="240" w:lineRule="auto"/>
        <w:jc w:val="both"/>
      </w:pPr>
      <w:r>
        <w:t>Discussing data collection collected.</w:t>
      </w:r>
    </w:p>
    <w:p w:rsidR="00394301" w:rsidRDefault="00394301" w:rsidP="00394301">
      <w:pPr>
        <w:numPr>
          <w:ilvl w:val="0"/>
          <w:numId w:val="28"/>
        </w:numPr>
        <w:spacing w:after="0" w:line="240" w:lineRule="auto"/>
        <w:jc w:val="both"/>
      </w:pPr>
      <w:r>
        <w:t xml:space="preserve">Discussing who will do what for the analysis (analysis, assess significance, identify mitigation). </w:t>
      </w:r>
    </w:p>
    <w:p w:rsidR="00394301" w:rsidRDefault="00394301" w:rsidP="00394301">
      <w:pPr>
        <w:numPr>
          <w:ilvl w:val="0"/>
          <w:numId w:val="28"/>
        </w:numPr>
        <w:spacing w:after="0" w:line="240" w:lineRule="auto"/>
        <w:jc w:val="both"/>
      </w:pPr>
      <w:r>
        <w:t>Preparing questions to ask Pr Wittig in class.</w:t>
      </w:r>
    </w:p>
    <w:p w:rsidR="00394301" w:rsidRDefault="00394301" w:rsidP="00394301">
      <w:pPr>
        <w:ind w:left="1440"/>
        <w:jc w:val="both"/>
      </w:pPr>
      <w:r>
        <w:t xml:space="preserve"> </w:t>
      </w:r>
    </w:p>
    <w:p w:rsidR="00394301" w:rsidRDefault="00394301" w:rsidP="00394301">
      <w:pPr>
        <w:jc w:val="both"/>
      </w:pPr>
      <w:r>
        <w:t>At the next meeting, the roles will be assigned as following:</w:t>
      </w:r>
    </w:p>
    <w:p w:rsidR="00394301" w:rsidRDefault="00394301" w:rsidP="00394301">
      <w:pPr>
        <w:jc w:val="both"/>
      </w:pPr>
      <w:r>
        <w:t>Benjamin Conable – Note taker;</w:t>
      </w:r>
    </w:p>
    <w:p w:rsidR="00394301" w:rsidRDefault="00394301" w:rsidP="00394301">
      <w:pPr>
        <w:jc w:val="both"/>
      </w:pPr>
      <w:r>
        <w:t>Sebastian Tinazzi – Time keeper;</w:t>
      </w:r>
    </w:p>
    <w:p w:rsidR="00394301" w:rsidRDefault="00394301" w:rsidP="00394301">
      <w:pPr>
        <w:jc w:val="both"/>
      </w:pPr>
      <w:r>
        <w:t>Ksenia Shikhmacheva – Facilitator;</w:t>
      </w:r>
    </w:p>
    <w:p w:rsidR="00394301" w:rsidRDefault="00394301" w:rsidP="00394301">
      <w:pPr>
        <w:jc w:val="both"/>
      </w:pPr>
      <w:r>
        <w:t xml:space="preserve">Jubair Uddin – Team leader. </w:t>
      </w:r>
    </w:p>
    <w:p w:rsidR="00394301" w:rsidRDefault="00394301" w:rsidP="00394301">
      <w:pPr>
        <w:jc w:val="both"/>
      </w:pPr>
      <w:r>
        <w:t xml:space="preserve"> </w:t>
      </w:r>
    </w:p>
    <w:p w:rsidR="00E66B56" w:rsidRPr="00A01282" w:rsidRDefault="00E66B56" w:rsidP="00E66B56">
      <w:pPr>
        <w:rPr>
          <w:sz w:val="28"/>
          <w:szCs w:val="28"/>
        </w:rPr>
      </w:pPr>
      <w:r w:rsidRPr="00A01282">
        <w:rPr>
          <w:sz w:val="28"/>
          <w:szCs w:val="28"/>
        </w:rPr>
        <w:t xml:space="preserve">Minutes of Meeting 3 on March 17, 2011 </w:t>
      </w:r>
    </w:p>
    <w:p w:rsidR="00E66B56" w:rsidRPr="00A01282" w:rsidRDefault="00E66B56" w:rsidP="00E66B56">
      <w:pPr>
        <w:rPr>
          <w:sz w:val="24"/>
          <w:szCs w:val="24"/>
        </w:rPr>
      </w:pPr>
      <w:r w:rsidRPr="00A01282">
        <w:rPr>
          <w:sz w:val="24"/>
          <w:szCs w:val="24"/>
        </w:rPr>
        <w:t>1:15 PM – 2:45 PM</w:t>
      </w:r>
    </w:p>
    <w:p w:rsidR="00E66B56" w:rsidRPr="00A01282" w:rsidRDefault="00E66B56" w:rsidP="00E66B56">
      <w:pPr>
        <w:rPr>
          <w:sz w:val="28"/>
          <w:szCs w:val="28"/>
        </w:rPr>
      </w:pPr>
      <w:r w:rsidRPr="00A01282">
        <w:rPr>
          <w:sz w:val="28"/>
          <w:szCs w:val="28"/>
        </w:rPr>
        <w:t>Roles:</w:t>
      </w:r>
    </w:p>
    <w:p w:rsidR="00E66B56" w:rsidRDefault="00E66B56" w:rsidP="001C7082">
      <w:pPr>
        <w:pStyle w:val="ListParagraph"/>
        <w:numPr>
          <w:ilvl w:val="0"/>
          <w:numId w:val="19"/>
        </w:numPr>
      </w:pPr>
      <w:r>
        <w:t>Jubair Uddin – Team leader. Not present.</w:t>
      </w:r>
    </w:p>
    <w:p w:rsidR="00E66B56" w:rsidRDefault="00E66B56" w:rsidP="001C7082">
      <w:pPr>
        <w:pStyle w:val="ListParagraph"/>
        <w:numPr>
          <w:ilvl w:val="0"/>
          <w:numId w:val="19"/>
        </w:numPr>
      </w:pPr>
      <w:r>
        <w:lastRenderedPageBreak/>
        <w:t>Ksenia Shikhmacheva – Facilitator;</w:t>
      </w:r>
    </w:p>
    <w:p w:rsidR="00E66B56" w:rsidRDefault="00E66B56" w:rsidP="001C7082">
      <w:pPr>
        <w:pStyle w:val="ListParagraph"/>
        <w:numPr>
          <w:ilvl w:val="0"/>
          <w:numId w:val="19"/>
        </w:numPr>
      </w:pPr>
      <w:r>
        <w:t>Benjamin Conable – Note taker;</w:t>
      </w:r>
    </w:p>
    <w:p w:rsidR="00E66B56" w:rsidRDefault="00E66B56" w:rsidP="001C7082">
      <w:pPr>
        <w:pStyle w:val="ListParagraph"/>
        <w:numPr>
          <w:ilvl w:val="0"/>
          <w:numId w:val="19"/>
        </w:numPr>
      </w:pPr>
      <w:r>
        <w:t>Sebastian Tinazzi – Time keeper;</w:t>
      </w:r>
    </w:p>
    <w:p w:rsidR="00E66B56" w:rsidRPr="00A01282" w:rsidRDefault="00E66B56" w:rsidP="00E66B56">
      <w:pPr>
        <w:rPr>
          <w:sz w:val="28"/>
          <w:szCs w:val="28"/>
        </w:rPr>
      </w:pPr>
      <w:r w:rsidRPr="00A01282">
        <w:rPr>
          <w:sz w:val="28"/>
          <w:szCs w:val="28"/>
        </w:rPr>
        <w:t>Next meeting roles are:</w:t>
      </w:r>
    </w:p>
    <w:p w:rsidR="00E66B56" w:rsidRDefault="00E66B56" w:rsidP="001C7082">
      <w:pPr>
        <w:pStyle w:val="ListParagraph"/>
        <w:numPr>
          <w:ilvl w:val="0"/>
          <w:numId w:val="19"/>
        </w:numPr>
      </w:pPr>
      <w:r>
        <w:t>Benjamin Conable – Team Leader;</w:t>
      </w:r>
    </w:p>
    <w:p w:rsidR="00E66B56" w:rsidRDefault="00E66B56" w:rsidP="001C7082">
      <w:pPr>
        <w:pStyle w:val="ListParagraph"/>
        <w:numPr>
          <w:ilvl w:val="0"/>
          <w:numId w:val="19"/>
        </w:numPr>
      </w:pPr>
      <w:r>
        <w:t>Sebastian Tinazzi – faciliator;</w:t>
      </w:r>
    </w:p>
    <w:p w:rsidR="00E66B56" w:rsidRDefault="00E66B56" w:rsidP="001C7082">
      <w:pPr>
        <w:pStyle w:val="ListParagraph"/>
        <w:numPr>
          <w:ilvl w:val="0"/>
          <w:numId w:val="19"/>
        </w:numPr>
      </w:pPr>
      <w:r>
        <w:t>Jubair Uddin  - note taker.</w:t>
      </w:r>
    </w:p>
    <w:p w:rsidR="00E66B56" w:rsidRDefault="00E66B56" w:rsidP="001C7082">
      <w:pPr>
        <w:pStyle w:val="ListParagraph"/>
        <w:numPr>
          <w:ilvl w:val="0"/>
          <w:numId w:val="19"/>
        </w:numPr>
      </w:pPr>
      <w:r>
        <w:t>Ksenia Shikhmacheva – time keeper;</w:t>
      </w:r>
    </w:p>
    <w:p w:rsidR="00E66B56" w:rsidRPr="00A01282" w:rsidRDefault="00E66B56" w:rsidP="00E66B56">
      <w:pPr>
        <w:rPr>
          <w:sz w:val="28"/>
          <w:szCs w:val="28"/>
        </w:rPr>
      </w:pPr>
      <w:r w:rsidRPr="00A01282">
        <w:rPr>
          <w:sz w:val="28"/>
          <w:szCs w:val="28"/>
        </w:rPr>
        <w:t>Agenda</w:t>
      </w:r>
    </w:p>
    <w:p w:rsidR="00E66B56" w:rsidRDefault="00E66B56" w:rsidP="001C7082">
      <w:pPr>
        <w:pStyle w:val="ListParagraph"/>
        <w:numPr>
          <w:ilvl w:val="0"/>
          <w:numId w:val="18"/>
        </w:numPr>
      </w:pPr>
      <w:r>
        <w:t>Review comments for IW3 of each group member.</w:t>
      </w:r>
    </w:p>
    <w:p w:rsidR="00E66B56" w:rsidRDefault="00E66B56" w:rsidP="001C7082">
      <w:pPr>
        <w:pStyle w:val="ListParagraph"/>
        <w:numPr>
          <w:ilvl w:val="0"/>
          <w:numId w:val="18"/>
        </w:numPr>
      </w:pPr>
      <w:r>
        <w:t>Discussing data collected.</w:t>
      </w:r>
    </w:p>
    <w:p w:rsidR="00E66B56" w:rsidRDefault="00E66B56" w:rsidP="001C7082">
      <w:pPr>
        <w:pStyle w:val="ListParagraph"/>
        <w:numPr>
          <w:ilvl w:val="0"/>
          <w:numId w:val="18"/>
        </w:numPr>
      </w:pPr>
      <w:r>
        <w:t xml:space="preserve">Discussing who will do what for the analysis (analysis, assess significance, identify mitigation). </w:t>
      </w:r>
    </w:p>
    <w:p w:rsidR="00E66B56" w:rsidRDefault="00E66B56" w:rsidP="001C7082">
      <w:pPr>
        <w:pStyle w:val="ListParagraph"/>
        <w:numPr>
          <w:ilvl w:val="0"/>
          <w:numId w:val="18"/>
        </w:numPr>
      </w:pPr>
      <w:r>
        <w:t>Discussion delayed until after meeting with professor.</w:t>
      </w:r>
    </w:p>
    <w:p w:rsidR="00E66B56" w:rsidRDefault="00E66B56" w:rsidP="001C7082">
      <w:pPr>
        <w:pStyle w:val="ListParagraph"/>
        <w:numPr>
          <w:ilvl w:val="0"/>
          <w:numId w:val="18"/>
        </w:numPr>
      </w:pPr>
      <w:r>
        <w:t>Prepare questions to ask Professor Wittig</w:t>
      </w:r>
    </w:p>
    <w:p w:rsidR="00E66B56" w:rsidRDefault="00E66B56" w:rsidP="001C7082">
      <w:pPr>
        <w:pStyle w:val="ListParagraph"/>
        <w:numPr>
          <w:ilvl w:val="0"/>
          <w:numId w:val="18"/>
        </w:numPr>
      </w:pPr>
      <w:r>
        <w:t>Set</w:t>
      </w:r>
      <w:r w:rsidR="001C7082" w:rsidRPr="001C7082">
        <w:t xml:space="preserve"> </w:t>
      </w:r>
      <w:r w:rsidR="001C7082">
        <w:t xml:space="preserve">date and time and </w:t>
      </w:r>
      <w:r>
        <w:t>agenda for Group Meeting 4</w:t>
      </w:r>
    </w:p>
    <w:p w:rsidR="00E66B56" w:rsidRDefault="00E66B56" w:rsidP="00E66B56"/>
    <w:p w:rsidR="00E66B56" w:rsidRDefault="00E66B56" w:rsidP="00E66B56">
      <w:r>
        <w:t xml:space="preserve">For Monday, Jubair, team leader will compile raw data and write memo for submittal. </w:t>
      </w:r>
    </w:p>
    <w:p w:rsidR="00E66B56" w:rsidRDefault="00E66B56" w:rsidP="00E66B56">
      <w:r>
        <w:t>It was decided that due to Jubair being late, team leader responsibility will be shared by the remaining team for meeting 3.</w:t>
      </w:r>
    </w:p>
    <w:p w:rsidR="00E66B56" w:rsidRDefault="00E66B56" w:rsidP="00E66B56">
      <w:r>
        <w:t>The team briefly discussed IW3.  It was noted that the team members had different interpretations of what the assignment was.  It was decided to ask Professor Wittig to comment.</w:t>
      </w:r>
    </w:p>
    <w:p w:rsidR="00E66B56" w:rsidRDefault="00E66B56" w:rsidP="00E66B56">
      <w:r>
        <w:t xml:space="preserve">Raw data discussion:  </w:t>
      </w:r>
    </w:p>
    <w:p w:rsidR="00E66B56" w:rsidRDefault="00E66B56" w:rsidP="00E66B56">
      <w:r>
        <w:t>The group discussed estimation of employees for companies who would not provide information. Group members counted visible employees for non-responsive companies. That was determined to be sufficient for the count. The group discussed how to count medical offices, which do not appear in Table 14-1 of CEQR. It was decided to ask Professor Wittig at the meeting with her at 2 PM.</w:t>
      </w:r>
    </w:p>
    <w:p w:rsidR="00E66B56" w:rsidRDefault="00E66B56" w:rsidP="00E66B56">
      <w:r>
        <w:t>Who will do what for analysis:</w:t>
      </w:r>
    </w:p>
    <w:p w:rsidR="00E66B56" w:rsidRDefault="00E66B56" w:rsidP="00E66B56">
      <w:r>
        <w:t>Ben, Seb, Jubair</w:t>
      </w:r>
    </w:p>
    <w:p w:rsidR="00E66B56" w:rsidRDefault="00E66B56" w:rsidP="00E66B56">
      <w:r>
        <w:t>Analysis of existing conditions and analysis of impact on MSW infrastructure.</w:t>
      </w:r>
    </w:p>
    <w:p w:rsidR="00E66B56" w:rsidRDefault="00E66B56" w:rsidP="00E66B56">
      <w:r>
        <w:tab/>
        <w:t>Ben: impact on MSW infrastructure and florescent</w:t>
      </w:r>
    </w:p>
    <w:p w:rsidR="00E66B56" w:rsidRDefault="00E66B56" w:rsidP="00E66B56">
      <w:r>
        <w:tab/>
        <w:t xml:space="preserve">Seb: residential </w:t>
      </w:r>
    </w:p>
    <w:p w:rsidR="00E66B56" w:rsidRDefault="00E66B56" w:rsidP="00E66B56">
      <w:r>
        <w:tab/>
        <w:t>Jubair: commercial existing</w:t>
      </w:r>
    </w:p>
    <w:p w:rsidR="00E66B56" w:rsidRDefault="00E66B56" w:rsidP="00E66B56">
      <w:r>
        <w:lastRenderedPageBreak/>
        <w:t>Ksenia: Analysis of build condition - Identify mitigation</w:t>
      </w:r>
    </w:p>
    <w:p w:rsidR="00E66B56" w:rsidRPr="00A01282" w:rsidRDefault="00E66B56" w:rsidP="00E66B56">
      <w:pPr>
        <w:rPr>
          <w:sz w:val="28"/>
          <w:szCs w:val="28"/>
        </w:rPr>
      </w:pPr>
      <w:r w:rsidRPr="00A01282">
        <w:rPr>
          <w:sz w:val="28"/>
          <w:szCs w:val="28"/>
        </w:rPr>
        <w:t>Questions and answers from meeting with Professor Wittig:</w:t>
      </w:r>
    </w:p>
    <w:p w:rsidR="00E66B56" w:rsidRDefault="00E66B56" w:rsidP="00E66B56">
      <w:r>
        <w:t>Our results for assess significance do not activate other parts of the chapter 14. We want to do the sections anyway. Is that a good thing for the project? Specifically…</w:t>
      </w:r>
    </w:p>
    <w:p w:rsidR="00E66B56" w:rsidRDefault="00E66B56" w:rsidP="00E66B56">
      <w:r>
        <w:t>500. mitigation</w:t>
      </w:r>
    </w:p>
    <w:p w:rsidR="00E66B56" w:rsidRDefault="00E66B56" w:rsidP="00E66B56">
      <w:r>
        <w:t>400 impact</w:t>
      </w:r>
    </w:p>
    <w:p w:rsidR="00E66B56" w:rsidRDefault="00E66B56" w:rsidP="00E66B56">
      <w:r>
        <w:t>312. detailed analysis</w:t>
      </w:r>
    </w:p>
    <w:p w:rsidR="00E66B56" w:rsidRDefault="00E66B56" w:rsidP="00E66B56">
      <w:r>
        <w:t>313. Most of the medical waste comes from the labs, not the clinic. No medical waste</w:t>
      </w:r>
    </w:p>
    <w:p w:rsidR="00E66B56" w:rsidRDefault="00E66B56" w:rsidP="00E66B56">
      <w:r>
        <w:t xml:space="preserve"> 320. swmp</w:t>
      </w:r>
    </w:p>
    <w:p w:rsidR="00E66B56" w:rsidRDefault="00E66B56" w:rsidP="00E66B56">
      <w:r>
        <w:t xml:space="preserve"> - Prof. Wittig says yes do all sections and state that some sections would not be included in an actual DEIS and why.</w:t>
      </w:r>
    </w:p>
    <w:p w:rsidR="00E66B56" w:rsidRDefault="00E66B56" w:rsidP="00E66B56"/>
    <w:p w:rsidR="00E66B56" w:rsidRDefault="00E66B56" w:rsidP="00E66B56">
      <w:r>
        <w:t>Clarify the scope of the last two assignments specifically with reference to 14.</w:t>
      </w:r>
    </w:p>
    <w:p w:rsidR="00E66B56" w:rsidRDefault="00E66B56" w:rsidP="00E66B56">
      <w:r>
        <w:t xml:space="preserve">Professor Wittig says that IW2 was about identifying needed data and sources for it and IW3 was about formulating exact equations for analyzing data. Our team, especially Ben and Sebastian, made IW3 about MSW infrastructure impact and IW2 about existing conditions and build conditions analysis. </w:t>
      </w:r>
    </w:p>
    <w:p w:rsidR="00E66B56" w:rsidRDefault="00E66B56" w:rsidP="00E66B56">
      <w:r>
        <w:t xml:space="preserve">IW2 = what kind of data do we need. What sources of information do we need. Where is the data coming from. </w:t>
      </w:r>
    </w:p>
    <w:p w:rsidR="00E66B56" w:rsidRDefault="00E66B56" w:rsidP="00E66B56">
      <w:r>
        <w:t>IW3=what specific formulas and analysis is needed for all sec</w:t>
      </w:r>
      <w:r w:rsidR="003113BE">
        <w:t>tions of ceqr.</w:t>
      </w:r>
    </w:p>
    <w:p w:rsidR="00E66B56" w:rsidRDefault="00E66B56" w:rsidP="00E66B56">
      <w:r>
        <w:t>May we divide repor</w:t>
      </w:r>
      <w:r w:rsidR="003113BE">
        <w:t>t work as we feel is fair?  Yes</w:t>
      </w:r>
    </w:p>
    <w:p w:rsidR="00E66B56" w:rsidRDefault="00E66B56" w:rsidP="00E66B56">
      <w:r>
        <w:t>How do we deal with medical offices which do not appear on Table 14-1?</w:t>
      </w:r>
    </w:p>
    <w:p w:rsidR="00E66B56" w:rsidRDefault="00E66B56" w:rsidP="00E66B56">
      <w:r>
        <w:t>Professor Wittig says to come up with a method for estimating MSW generation at a medical office, possibly by combining or considering Office Building, Hospital, and Retail rates. Provided the team comes up with reasonable justification, the method will be considered sound.</w:t>
      </w:r>
    </w:p>
    <w:p w:rsidR="00E66B56" w:rsidRDefault="00E66B56" w:rsidP="00E66B56">
      <w:r>
        <w:t>Wittig says project should really look like a lab report more than the CEQR 14.  We can use CEQR 14 subheading in report. The person who writes analysis section for some specific data writes the method section as well, Wittig suggests.  We can use our judgment regarding division of writing. Wittig says we should include a table that maps commercial store types to 14-1 table values.</w:t>
      </w:r>
    </w:p>
    <w:p w:rsidR="00E66B56" w:rsidRDefault="00E66B56" w:rsidP="00E66B56">
      <w:r>
        <w:t>Mitigation sections always end up being qualitative. –Wittig. Mitigation linked to existing usage. Ksenia asked questions about how aspirational our mitigations could be: whether we can include mitigations we would like to see or only mitigations that are existing at the college. Professor Wittig suggested that composting is relevant based on the presence of food service at the college.</w:t>
      </w:r>
    </w:p>
    <w:p w:rsidR="00E66B56" w:rsidRDefault="00E66B56" w:rsidP="00E66B56"/>
    <w:p w:rsidR="00E66B56" w:rsidRPr="001C7082" w:rsidRDefault="00E66B56" w:rsidP="00E66B56">
      <w:r w:rsidRPr="001C7082">
        <w:t>Agenda GM4</w:t>
      </w:r>
    </w:p>
    <w:p w:rsidR="00E66B56" w:rsidRDefault="00E66B56" w:rsidP="001C7082">
      <w:pPr>
        <w:pStyle w:val="ListParagraph"/>
        <w:numPr>
          <w:ilvl w:val="0"/>
          <w:numId w:val="17"/>
        </w:numPr>
      </w:pPr>
      <w:r>
        <w:t>Identify roles for final project – elect team leader</w:t>
      </w:r>
    </w:p>
    <w:p w:rsidR="00E66B56" w:rsidRDefault="00E66B56" w:rsidP="001C7082">
      <w:pPr>
        <w:pStyle w:val="ListParagraph"/>
        <w:numPr>
          <w:ilvl w:val="0"/>
          <w:numId w:val="17"/>
        </w:numPr>
      </w:pPr>
      <w:r>
        <w:t>Review IW4</w:t>
      </w:r>
    </w:p>
    <w:p w:rsidR="00E66B56" w:rsidRDefault="00E66B56" w:rsidP="001C7082">
      <w:pPr>
        <w:pStyle w:val="ListParagraph"/>
        <w:numPr>
          <w:ilvl w:val="0"/>
          <w:numId w:val="17"/>
        </w:numPr>
      </w:pPr>
      <w:r>
        <w:t>What still needs to be done – divide up the writing.</w:t>
      </w:r>
    </w:p>
    <w:p w:rsidR="00E66B56" w:rsidRDefault="00E66B56" w:rsidP="001C7082">
      <w:pPr>
        <w:pStyle w:val="ListParagraph"/>
        <w:numPr>
          <w:ilvl w:val="0"/>
          <w:numId w:val="17"/>
        </w:numPr>
      </w:pPr>
      <w:r>
        <w:t>Further questions for Professor Wittig</w:t>
      </w:r>
    </w:p>
    <w:p w:rsidR="00E66B56" w:rsidRDefault="00E66B56" w:rsidP="001C7082">
      <w:pPr>
        <w:pStyle w:val="ListParagraph"/>
        <w:numPr>
          <w:ilvl w:val="0"/>
          <w:numId w:val="17"/>
        </w:numPr>
      </w:pPr>
      <w:r>
        <w:t>Determine whether 5</w:t>
      </w:r>
      <w:r w:rsidRPr="001C7082">
        <w:rPr>
          <w:vertAlign w:val="superscript"/>
        </w:rPr>
        <w:t>th</w:t>
      </w:r>
      <w:r>
        <w:t xml:space="preserve"> meeting is necessary</w:t>
      </w:r>
    </w:p>
    <w:p w:rsidR="00E66B56" w:rsidRDefault="00E66B56" w:rsidP="001C7082">
      <w:pPr>
        <w:pStyle w:val="ListParagraph"/>
        <w:numPr>
          <w:ilvl w:val="0"/>
          <w:numId w:val="17"/>
        </w:numPr>
      </w:pPr>
      <w:r>
        <w:t>Date for GM4: Thursday, March 31, 2011 at 12:30 PM.</w:t>
      </w:r>
    </w:p>
    <w:p w:rsidR="001C7082" w:rsidRDefault="001C7082" w:rsidP="0096006B">
      <w:pPr>
        <w:rPr>
          <w:sz w:val="32"/>
          <w:szCs w:val="32"/>
        </w:rPr>
      </w:pPr>
    </w:p>
    <w:p w:rsidR="0096006B" w:rsidRDefault="0096006B" w:rsidP="0096006B">
      <w:pPr>
        <w:rPr>
          <w:sz w:val="32"/>
          <w:szCs w:val="32"/>
        </w:rPr>
      </w:pPr>
      <w:r>
        <w:rPr>
          <w:sz w:val="32"/>
          <w:szCs w:val="32"/>
        </w:rPr>
        <w:t xml:space="preserve">Group </w:t>
      </w:r>
      <w:r w:rsidRPr="0096006B">
        <w:rPr>
          <w:sz w:val="32"/>
          <w:szCs w:val="32"/>
        </w:rPr>
        <w:t xml:space="preserve">Meeting </w:t>
      </w:r>
      <w:r>
        <w:rPr>
          <w:sz w:val="32"/>
          <w:szCs w:val="32"/>
        </w:rPr>
        <w:t>4</w:t>
      </w:r>
    </w:p>
    <w:p w:rsidR="0096006B" w:rsidRPr="00F15258" w:rsidRDefault="0096006B" w:rsidP="0096006B">
      <w:r w:rsidRPr="00F15258">
        <w:t>03/31/2011 1:30 PM – 2:30PM</w:t>
      </w:r>
    </w:p>
    <w:p w:rsidR="0096006B" w:rsidRDefault="0096006B" w:rsidP="0096006B">
      <w:r>
        <w:t>Roles:</w:t>
      </w:r>
    </w:p>
    <w:p w:rsidR="0096006B" w:rsidRDefault="0096006B" w:rsidP="0096006B">
      <w:pPr>
        <w:pStyle w:val="ListParagraph"/>
        <w:numPr>
          <w:ilvl w:val="0"/>
          <w:numId w:val="16"/>
        </w:numPr>
      </w:pPr>
      <w:r>
        <w:t>Benjamin Conable – Team Leader;</w:t>
      </w:r>
    </w:p>
    <w:p w:rsidR="0096006B" w:rsidRDefault="0096006B" w:rsidP="0096006B">
      <w:pPr>
        <w:pStyle w:val="ListParagraph"/>
        <w:numPr>
          <w:ilvl w:val="0"/>
          <w:numId w:val="16"/>
        </w:numPr>
      </w:pPr>
      <w:r>
        <w:t>Sebastian Tinazzi – faciliator;</w:t>
      </w:r>
    </w:p>
    <w:p w:rsidR="0096006B" w:rsidRDefault="0096006B" w:rsidP="0096006B">
      <w:pPr>
        <w:pStyle w:val="ListParagraph"/>
        <w:numPr>
          <w:ilvl w:val="0"/>
          <w:numId w:val="16"/>
        </w:numPr>
      </w:pPr>
      <w:r>
        <w:t>Jubair Uddin  - note taker.</w:t>
      </w:r>
    </w:p>
    <w:p w:rsidR="0096006B" w:rsidRDefault="0096006B" w:rsidP="0096006B">
      <w:pPr>
        <w:pStyle w:val="ListParagraph"/>
        <w:numPr>
          <w:ilvl w:val="0"/>
          <w:numId w:val="16"/>
        </w:numPr>
      </w:pPr>
      <w:r>
        <w:t>Ksenia Shikhmacheva – time keeper;</w:t>
      </w:r>
    </w:p>
    <w:p w:rsidR="0096006B" w:rsidRDefault="0096006B" w:rsidP="0096006B">
      <w:r>
        <w:t>Today’s meeting discussions</w:t>
      </w:r>
    </w:p>
    <w:p w:rsidR="0096006B" w:rsidRDefault="0096006B" w:rsidP="0096006B">
      <w:pPr>
        <w:pStyle w:val="ListParagraph"/>
        <w:numPr>
          <w:ilvl w:val="0"/>
          <w:numId w:val="15"/>
        </w:numPr>
      </w:pPr>
      <w:r>
        <w:t>Every group member will write two power point slides</w:t>
      </w:r>
    </w:p>
    <w:p w:rsidR="0096006B" w:rsidRDefault="0096006B" w:rsidP="0096006B">
      <w:pPr>
        <w:pStyle w:val="ListParagraph"/>
        <w:numPr>
          <w:ilvl w:val="0"/>
          <w:numId w:val="15"/>
        </w:numPr>
      </w:pPr>
      <w:r>
        <w:t>The back ground picture, a classic photo from 2010 photo album wa</w:t>
      </w:r>
      <w:r w:rsidR="00394301">
        <w:t>s anonymously selected by every</w:t>
      </w:r>
      <w:r>
        <w:t>one in the group</w:t>
      </w:r>
    </w:p>
    <w:p w:rsidR="0096006B" w:rsidRDefault="00394301" w:rsidP="0096006B">
      <w:pPr>
        <w:pStyle w:val="ListParagraph"/>
        <w:numPr>
          <w:ilvl w:val="0"/>
          <w:numId w:val="15"/>
        </w:numPr>
      </w:pPr>
      <w:r>
        <w:t>Every</w:t>
      </w:r>
      <w:r w:rsidR="0096006B">
        <w:t>one has agreed to present their part of the project for the final presentation.</w:t>
      </w:r>
    </w:p>
    <w:p w:rsidR="0096006B" w:rsidRDefault="0096006B" w:rsidP="0096006B">
      <w:pPr>
        <w:pStyle w:val="ListParagraph"/>
        <w:numPr>
          <w:ilvl w:val="0"/>
          <w:numId w:val="15"/>
        </w:numPr>
      </w:pPr>
      <w:r>
        <w:t>No further question</w:t>
      </w:r>
      <w:r w:rsidR="00394301">
        <w:t>s</w:t>
      </w:r>
      <w:r>
        <w:t xml:space="preserve"> for </w:t>
      </w:r>
      <w:r w:rsidR="00394301">
        <w:t>Professor</w:t>
      </w:r>
      <w:r>
        <w:t xml:space="preserve"> Wittig. </w:t>
      </w:r>
    </w:p>
    <w:p w:rsidR="0096006B" w:rsidRDefault="0096006B" w:rsidP="0096006B">
      <w:pPr>
        <w:pStyle w:val="ListParagraph"/>
        <w:numPr>
          <w:ilvl w:val="0"/>
          <w:numId w:val="14"/>
        </w:numPr>
      </w:pPr>
      <w:r>
        <w:t>Next meeting date and time:  Thursday April 14, 2011 @ 12:30</w:t>
      </w:r>
    </w:p>
    <w:p w:rsidR="0096006B" w:rsidRDefault="0096006B" w:rsidP="0096006B">
      <w:r>
        <w:t>Roles for next meeting:</w:t>
      </w:r>
    </w:p>
    <w:p w:rsidR="0096006B" w:rsidRDefault="0096006B" w:rsidP="0096006B">
      <w:pPr>
        <w:pStyle w:val="ListParagraph"/>
        <w:numPr>
          <w:ilvl w:val="0"/>
          <w:numId w:val="13"/>
        </w:numPr>
      </w:pPr>
      <w:r>
        <w:t>Team Leader (Final Project Manager) Benjamin Conable</w:t>
      </w:r>
    </w:p>
    <w:p w:rsidR="0096006B" w:rsidRDefault="0096006B" w:rsidP="0096006B">
      <w:pPr>
        <w:pStyle w:val="ListParagraph"/>
        <w:numPr>
          <w:ilvl w:val="0"/>
          <w:numId w:val="13"/>
        </w:numPr>
      </w:pPr>
      <w:r>
        <w:t>Sebastian Tinazzi will organize the slides</w:t>
      </w:r>
    </w:p>
    <w:p w:rsidR="0096006B" w:rsidRDefault="0096006B" w:rsidP="0096006B">
      <w:r>
        <w:t>Agenda for next meeting:</w:t>
      </w:r>
    </w:p>
    <w:p w:rsidR="0096006B" w:rsidRDefault="0096006B" w:rsidP="0096006B">
      <w:pPr>
        <w:pStyle w:val="ListParagraph"/>
        <w:numPr>
          <w:ilvl w:val="0"/>
          <w:numId w:val="12"/>
        </w:numPr>
      </w:pPr>
      <w:r>
        <w:t>Discuss the details and specifics of the presentation</w:t>
      </w:r>
    </w:p>
    <w:p w:rsidR="0096006B" w:rsidRDefault="0096006B" w:rsidP="0096006B">
      <w:pPr>
        <w:pStyle w:val="ListParagraph"/>
        <w:numPr>
          <w:ilvl w:val="0"/>
          <w:numId w:val="12"/>
        </w:numPr>
      </w:pPr>
      <w:r>
        <w:t>Discuss power point slide for the presentation</w:t>
      </w:r>
    </w:p>
    <w:p w:rsidR="000A0387" w:rsidRDefault="0096006B" w:rsidP="0096006B">
      <w:pPr>
        <w:pStyle w:val="ListParagraph"/>
        <w:numPr>
          <w:ilvl w:val="0"/>
          <w:numId w:val="12"/>
        </w:numPr>
      </w:pPr>
      <w:r>
        <w:t>Discuss IW5</w:t>
      </w:r>
    </w:p>
    <w:p w:rsidR="009F27AE" w:rsidRDefault="009F27AE" w:rsidP="009F27AE"/>
    <w:p w:rsidR="00CA566A" w:rsidRDefault="00CA566A">
      <w:r>
        <w:br w:type="page"/>
      </w:r>
    </w:p>
    <w:p w:rsidR="009F27AE" w:rsidRDefault="009F27AE" w:rsidP="009F27AE"/>
    <w:p w:rsidR="009F27AE" w:rsidRDefault="009F27AE" w:rsidP="00CA566A">
      <w:pPr>
        <w:spacing w:after="0" w:line="240" w:lineRule="auto"/>
        <w:ind w:right="360" w:firstLine="360"/>
      </w:pPr>
      <w:r>
        <w:t>April 13, 2011</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r>
        <w:t>Professor Beth Wittig</w:t>
      </w:r>
    </w:p>
    <w:p w:rsidR="009F27AE" w:rsidRDefault="009F27AE" w:rsidP="009F27AE">
      <w:pPr>
        <w:pStyle w:val="ListParagraph"/>
        <w:spacing w:after="0" w:line="240" w:lineRule="auto"/>
        <w:ind w:left="360" w:right="360"/>
      </w:pPr>
      <w:r>
        <w:t>Civil Engineering Department</w:t>
      </w:r>
    </w:p>
    <w:p w:rsidR="009F27AE" w:rsidRDefault="009F27AE" w:rsidP="009F27AE">
      <w:pPr>
        <w:pStyle w:val="ListParagraph"/>
        <w:spacing w:after="0" w:line="240" w:lineRule="auto"/>
        <w:ind w:left="360" w:right="360"/>
      </w:pPr>
      <w:r>
        <w:t>The City College of New York</w:t>
      </w:r>
    </w:p>
    <w:p w:rsidR="009F27AE" w:rsidRDefault="009F27AE" w:rsidP="009F27AE">
      <w:pPr>
        <w:pStyle w:val="ListParagraph"/>
        <w:spacing w:after="0" w:line="240" w:lineRule="auto"/>
        <w:ind w:left="360" w:right="360"/>
      </w:pPr>
      <w:r>
        <w:t>140</w:t>
      </w:r>
      <w:r w:rsidRPr="00FA05C2">
        <w:rPr>
          <w:vertAlign w:val="superscript"/>
        </w:rPr>
        <w:t>th</w:t>
      </w:r>
      <w:r>
        <w:t xml:space="preserve"> Street &amp; Convent Avenue</w:t>
      </w:r>
    </w:p>
    <w:p w:rsidR="009F27AE" w:rsidRDefault="009F27AE" w:rsidP="009F27AE">
      <w:pPr>
        <w:pStyle w:val="ListParagraph"/>
        <w:spacing w:after="0" w:line="240" w:lineRule="auto"/>
        <w:ind w:left="360" w:right="360"/>
      </w:pPr>
      <w:r>
        <w:t>New York, New York 10031</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Pr="00FA05C2" w:rsidRDefault="009F27AE" w:rsidP="009F27AE">
      <w:pPr>
        <w:pStyle w:val="ListParagraph"/>
        <w:spacing w:after="0" w:line="240" w:lineRule="auto"/>
        <w:ind w:left="360" w:right="360"/>
        <w:rPr>
          <w:sz w:val="24"/>
          <w:szCs w:val="24"/>
          <w:u w:val="single"/>
        </w:rPr>
      </w:pPr>
      <w:r w:rsidRPr="00FA05C2">
        <w:rPr>
          <w:sz w:val="24"/>
          <w:szCs w:val="24"/>
          <w:u w:val="single"/>
        </w:rPr>
        <w:t>Transmittal Memorandum</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r>
        <w:t xml:space="preserve">Re: Solid Waste Generation Group </w:t>
      </w:r>
      <w:r w:rsidR="00F15258">
        <w:t>Final</w:t>
      </w:r>
      <w:r>
        <w:t xml:space="preserve"> Report</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r>
        <w:t>Dear Professor:</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jc w:val="both"/>
      </w:pPr>
      <w:r>
        <w:t xml:space="preserve">Attached please find the </w:t>
      </w:r>
      <w:r w:rsidR="00F15258">
        <w:t>Final</w:t>
      </w:r>
      <w:r>
        <w:t xml:space="preserve"> Solid Waste Management Report for the proposed City College of New York extension project. The goal of this report is to identify the impact of the proposed project on municipal solid waste infrastructure relative to existing waste generation levels and judge the significance of that impact against the standard set forth in the New York City Environmental Quality Review Technical Manual.</w:t>
      </w:r>
    </w:p>
    <w:p w:rsidR="009F27AE" w:rsidRDefault="009F27AE" w:rsidP="009F27AE">
      <w:pPr>
        <w:pStyle w:val="ListParagraph"/>
        <w:spacing w:after="0" w:line="240" w:lineRule="auto"/>
        <w:ind w:left="360" w:right="360"/>
        <w:jc w:val="both"/>
      </w:pPr>
    </w:p>
    <w:p w:rsidR="009F27AE" w:rsidRDefault="009F27AE" w:rsidP="009F27AE">
      <w:pPr>
        <w:pStyle w:val="ListParagraph"/>
        <w:spacing w:after="0" w:line="240" w:lineRule="auto"/>
        <w:ind w:left="360" w:right="360"/>
        <w:jc w:val="both"/>
      </w:pPr>
      <w:r>
        <w:t xml:space="preserve">This </w:t>
      </w:r>
      <w:r w:rsidR="00F15258">
        <w:t>final</w:t>
      </w:r>
      <w:r>
        <w:t xml:space="preserve"> report comprises analysis of existing residential solid waste generation prepared by Sebastian Tinazzi, existing commercial solid waste generation by Jubair Uddin, build condition waste generation by Ksenia Shikhmacheva, and municipal solid waste collection infrastructure impact for existing and build conditions by Benjamin Conable. Mr. Uddin oversaw collation of the commercial MSW generation survey conducted by all group members. Ms. Shikhmacheva prepared the mitigation analysis</w:t>
      </w:r>
      <w:r w:rsidR="00F15258">
        <w:t xml:space="preserve"> and Mr. Tinazzi helped format the report</w:t>
      </w:r>
      <w:r>
        <w:t>.</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r>
        <w:t>Sincerely,</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r>
        <w:t>Benjamin Conable</w:t>
      </w:r>
    </w:p>
    <w:p w:rsidR="009F27AE" w:rsidRDefault="009F27AE" w:rsidP="009F27AE">
      <w:pPr>
        <w:pStyle w:val="ListParagraph"/>
        <w:spacing w:after="0" w:line="240" w:lineRule="auto"/>
        <w:ind w:left="360" w:right="360"/>
      </w:pPr>
      <w:r>
        <w:t>Final Project Manager</w:t>
      </w:r>
    </w:p>
    <w:p w:rsidR="009F27AE" w:rsidRDefault="009F27AE" w:rsidP="009F27AE">
      <w:pPr>
        <w:pStyle w:val="ListParagraph"/>
        <w:spacing w:after="0" w:line="240" w:lineRule="auto"/>
        <w:ind w:left="360" w:right="360"/>
      </w:pPr>
      <w:r>
        <w:t>Solid Waste Generation Group</w:t>
      </w: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9F27AE" w:rsidRDefault="009F27AE" w:rsidP="009F27AE">
      <w:pPr>
        <w:pStyle w:val="ListParagraph"/>
        <w:spacing w:after="0" w:line="240" w:lineRule="auto"/>
        <w:ind w:left="360" w:right="360"/>
      </w:pPr>
    </w:p>
    <w:p w:rsidR="00CA566A" w:rsidRDefault="00CA566A">
      <w:pPr>
        <w:rPr>
          <w:sz w:val="32"/>
          <w:szCs w:val="32"/>
        </w:rPr>
      </w:pPr>
      <w:r>
        <w:rPr>
          <w:sz w:val="32"/>
          <w:szCs w:val="32"/>
        </w:rPr>
        <w:br w:type="page"/>
      </w:r>
    </w:p>
    <w:p w:rsidR="009F27AE" w:rsidRPr="002F626E" w:rsidRDefault="009F27AE" w:rsidP="002F626E">
      <w:pPr>
        <w:rPr>
          <w:sz w:val="32"/>
          <w:szCs w:val="32"/>
        </w:rPr>
      </w:pPr>
      <w:r w:rsidRPr="002F626E">
        <w:rPr>
          <w:sz w:val="32"/>
          <w:szCs w:val="32"/>
        </w:rPr>
        <w:lastRenderedPageBreak/>
        <w:t>Project Checklist</w:t>
      </w:r>
    </w:p>
    <w:p w:rsidR="009F27AE" w:rsidRDefault="009F27AE" w:rsidP="009F27AE">
      <w:pPr>
        <w:pStyle w:val="ListParagraph"/>
        <w:numPr>
          <w:ilvl w:val="0"/>
          <w:numId w:val="22"/>
        </w:numPr>
        <w:ind w:left="360" w:right="360"/>
      </w:pPr>
      <w:r>
        <w:t>Transmittal page</w:t>
      </w:r>
    </w:p>
    <w:p w:rsidR="009F27AE" w:rsidRDefault="009F27AE" w:rsidP="009F27AE">
      <w:pPr>
        <w:pStyle w:val="ListParagraph"/>
        <w:numPr>
          <w:ilvl w:val="0"/>
          <w:numId w:val="22"/>
        </w:numPr>
        <w:ind w:left="360" w:right="360"/>
      </w:pPr>
      <w:r>
        <w:t>Table of contents</w:t>
      </w:r>
    </w:p>
    <w:p w:rsidR="009F27AE" w:rsidRDefault="009F27AE" w:rsidP="009F27AE">
      <w:pPr>
        <w:pStyle w:val="ListParagraph"/>
        <w:numPr>
          <w:ilvl w:val="0"/>
          <w:numId w:val="22"/>
        </w:numPr>
        <w:ind w:left="360" w:right="360"/>
      </w:pPr>
      <w:r>
        <w:t>Abstract</w:t>
      </w:r>
    </w:p>
    <w:p w:rsidR="009F27AE" w:rsidRDefault="009F27AE" w:rsidP="009F27AE">
      <w:pPr>
        <w:pStyle w:val="ListParagraph"/>
        <w:numPr>
          <w:ilvl w:val="0"/>
          <w:numId w:val="22"/>
        </w:numPr>
        <w:ind w:left="360" w:right="360"/>
      </w:pPr>
      <w:r>
        <w:t>Objective  </w:t>
      </w:r>
    </w:p>
    <w:p w:rsidR="009F27AE" w:rsidRDefault="009F27AE" w:rsidP="009F27AE">
      <w:pPr>
        <w:pStyle w:val="ListParagraph"/>
        <w:numPr>
          <w:ilvl w:val="0"/>
          <w:numId w:val="22"/>
        </w:numPr>
        <w:ind w:left="360" w:right="360"/>
      </w:pPr>
      <w:r>
        <w:t>Introduction</w:t>
      </w:r>
    </w:p>
    <w:p w:rsidR="009F27AE" w:rsidRDefault="009F27AE" w:rsidP="009F27AE">
      <w:pPr>
        <w:pStyle w:val="ListParagraph"/>
        <w:numPr>
          <w:ilvl w:val="0"/>
          <w:numId w:val="22"/>
        </w:numPr>
        <w:ind w:left="360" w:right="360"/>
      </w:pPr>
      <w:r>
        <w:t>Methods and Materials</w:t>
      </w:r>
    </w:p>
    <w:p w:rsidR="009F27AE" w:rsidRDefault="009F27AE" w:rsidP="009F27AE">
      <w:pPr>
        <w:pStyle w:val="ListParagraph"/>
        <w:numPr>
          <w:ilvl w:val="0"/>
          <w:numId w:val="22"/>
        </w:numPr>
        <w:ind w:left="360" w:right="360"/>
      </w:pPr>
      <w:r>
        <w:t>Results and Discussion  </w:t>
      </w:r>
    </w:p>
    <w:p w:rsidR="009F27AE" w:rsidRDefault="009F27AE" w:rsidP="009F27AE">
      <w:pPr>
        <w:pStyle w:val="ListParagraph"/>
        <w:numPr>
          <w:ilvl w:val="0"/>
          <w:numId w:val="22"/>
        </w:numPr>
        <w:ind w:left="360" w:right="360"/>
      </w:pPr>
      <w:r>
        <w:t>Conclusions</w:t>
      </w:r>
    </w:p>
    <w:p w:rsidR="009F27AE" w:rsidRDefault="009F27AE" w:rsidP="009F27AE">
      <w:pPr>
        <w:pStyle w:val="ListParagraph"/>
        <w:numPr>
          <w:ilvl w:val="0"/>
          <w:numId w:val="22"/>
        </w:numPr>
        <w:ind w:left="360" w:right="360"/>
      </w:pPr>
      <w:r>
        <w:t>References (follow Ch2)</w:t>
      </w:r>
    </w:p>
    <w:p w:rsidR="009F27AE" w:rsidRDefault="009F27AE" w:rsidP="009F27AE">
      <w:pPr>
        <w:pStyle w:val="ListParagraph"/>
        <w:numPr>
          <w:ilvl w:val="0"/>
          <w:numId w:val="22"/>
        </w:numPr>
        <w:ind w:left="360" w:right="360"/>
      </w:pPr>
      <w:r>
        <w:t>Appendices (include raw data as written in the field, supporting calculations, all</w:t>
      </w:r>
    </w:p>
    <w:p w:rsidR="009F27AE" w:rsidRPr="00A01282" w:rsidRDefault="009F27AE" w:rsidP="009F27AE">
      <w:pPr>
        <w:pStyle w:val="ListParagraph"/>
        <w:ind w:left="360" w:right="360"/>
      </w:pPr>
      <w:r>
        <w:t>four meeting agendas and minutes)</w:t>
      </w:r>
    </w:p>
    <w:p w:rsidR="009F27AE" w:rsidRDefault="009F27AE" w:rsidP="009F27AE">
      <w:pPr>
        <w:pStyle w:val="ListParagraph"/>
        <w:ind w:left="360" w:right="360"/>
      </w:pPr>
    </w:p>
    <w:p w:rsidR="009F27AE" w:rsidRPr="003113BE" w:rsidRDefault="009F27AE" w:rsidP="009F27AE"/>
    <w:sectPr w:rsidR="009F27AE" w:rsidRPr="003113BE" w:rsidSect="0081282E">
      <w:footerReference w:type="even" r:id="rId70"/>
      <w:footerReference w:type="default" r:id="rId71"/>
      <w:pgSz w:w="12240" w:h="15840" w:code="1"/>
      <w:pgMar w:top="108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49" w:rsidRDefault="004F0349">
      <w:r>
        <w:separator/>
      </w:r>
    </w:p>
  </w:endnote>
  <w:endnote w:type="continuationSeparator" w:id="0">
    <w:p w:rsidR="004F0349" w:rsidRDefault="004F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68" w:rsidRDefault="00E00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0F68" w:rsidRDefault="00E00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F68" w:rsidRDefault="00E00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242">
      <w:rPr>
        <w:rStyle w:val="PageNumber"/>
        <w:noProof/>
      </w:rPr>
      <w:t>1</w:t>
    </w:r>
    <w:r>
      <w:rPr>
        <w:rStyle w:val="PageNumber"/>
      </w:rPr>
      <w:fldChar w:fldCharType="end"/>
    </w:r>
  </w:p>
  <w:p w:rsidR="00E00F68" w:rsidRDefault="00E00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49" w:rsidRDefault="004F0349">
      <w:r>
        <w:separator/>
      </w:r>
    </w:p>
  </w:footnote>
  <w:footnote w:type="continuationSeparator" w:id="0">
    <w:p w:rsidR="004F0349" w:rsidRDefault="004F0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8272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5A68A414"/>
    <w:lvl w:ilvl="0" w:tplc="E598BC9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3BAE70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07905AE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46EABC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81FADBD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2110ACA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15DE587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0714F6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B027BF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57B6FF1"/>
    <w:multiLevelType w:val="hybridMultilevel"/>
    <w:tmpl w:val="77DCACE8"/>
    <w:lvl w:ilvl="0" w:tplc="E598BC9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67CBC"/>
    <w:multiLevelType w:val="hybridMultilevel"/>
    <w:tmpl w:val="9452A20C"/>
    <w:lvl w:ilvl="0" w:tplc="0E6A4A44">
      <w:start w:val="1"/>
      <w:numFmt w:val="upperRoman"/>
      <w:lvlText w:val="%1."/>
      <w:lvlJc w:val="left"/>
      <w:pPr>
        <w:tabs>
          <w:tab w:val="num" w:pos="0"/>
        </w:tabs>
        <w:ind w:left="0" w:firstLine="0"/>
      </w:pPr>
      <w:rPr>
        <w:rFonts w:hint="default"/>
      </w:rPr>
    </w:lvl>
    <w:lvl w:ilvl="1" w:tplc="8570B762">
      <w:start w:val="1"/>
      <w:numFmt w:val="decimal"/>
      <w:lvlText w:val="%2."/>
      <w:lvlJc w:val="left"/>
      <w:pPr>
        <w:tabs>
          <w:tab w:val="num" w:pos="1440"/>
        </w:tabs>
        <w:ind w:left="1440" w:hanging="360"/>
      </w:pPr>
      <w:rPr>
        <w:rFonts w:hint="default"/>
      </w:rPr>
    </w:lvl>
    <w:lvl w:ilvl="2" w:tplc="B3C4E2FC">
      <w:start w:val="2"/>
      <w:numFmt w:val="decimal"/>
      <w:lvlText w:val="%3"/>
      <w:lvlJc w:val="left"/>
      <w:pPr>
        <w:tabs>
          <w:tab w:val="num" w:pos="2340"/>
        </w:tabs>
        <w:ind w:left="2340" w:hanging="360"/>
      </w:pPr>
      <w:rPr>
        <w:rFonts w:hint="default"/>
      </w:rPr>
    </w:lvl>
    <w:lvl w:ilvl="3" w:tplc="72D2666E" w:tentative="1">
      <w:start w:val="1"/>
      <w:numFmt w:val="decimal"/>
      <w:lvlText w:val="%4."/>
      <w:lvlJc w:val="left"/>
      <w:pPr>
        <w:tabs>
          <w:tab w:val="num" w:pos="2880"/>
        </w:tabs>
        <w:ind w:left="2880" w:hanging="360"/>
      </w:pPr>
    </w:lvl>
    <w:lvl w:ilvl="4" w:tplc="E8EC26BE" w:tentative="1">
      <w:start w:val="1"/>
      <w:numFmt w:val="lowerLetter"/>
      <w:lvlText w:val="%5."/>
      <w:lvlJc w:val="left"/>
      <w:pPr>
        <w:tabs>
          <w:tab w:val="num" w:pos="3600"/>
        </w:tabs>
        <w:ind w:left="3600" w:hanging="360"/>
      </w:pPr>
    </w:lvl>
    <w:lvl w:ilvl="5" w:tplc="BE1E1F58" w:tentative="1">
      <w:start w:val="1"/>
      <w:numFmt w:val="lowerRoman"/>
      <w:lvlText w:val="%6."/>
      <w:lvlJc w:val="right"/>
      <w:pPr>
        <w:tabs>
          <w:tab w:val="num" w:pos="4320"/>
        </w:tabs>
        <w:ind w:left="4320" w:hanging="180"/>
      </w:pPr>
    </w:lvl>
    <w:lvl w:ilvl="6" w:tplc="C01EEACA" w:tentative="1">
      <w:start w:val="1"/>
      <w:numFmt w:val="decimal"/>
      <w:lvlText w:val="%7."/>
      <w:lvlJc w:val="left"/>
      <w:pPr>
        <w:tabs>
          <w:tab w:val="num" w:pos="5040"/>
        </w:tabs>
        <w:ind w:left="5040" w:hanging="360"/>
      </w:pPr>
    </w:lvl>
    <w:lvl w:ilvl="7" w:tplc="F29E1BDC" w:tentative="1">
      <w:start w:val="1"/>
      <w:numFmt w:val="lowerLetter"/>
      <w:lvlText w:val="%8."/>
      <w:lvlJc w:val="left"/>
      <w:pPr>
        <w:tabs>
          <w:tab w:val="num" w:pos="5760"/>
        </w:tabs>
        <w:ind w:left="5760" w:hanging="360"/>
      </w:pPr>
    </w:lvl>
    <w:lvl w:ilvl="8" w:tplc="49F0E424" w:tentative="1">
      <w:start w:val="1"/>
      <w:numFmt w:val="lowerRoman"/>
      <w:lvlText w:val="%9."/>
      <w:lvlJc w:val="right"/>
      <w:pPr>
        <w:tabs>
          <w:tab w:val="num" w:pos="6480"/>
        </w:tabs>
        <w:ind w:left="6480" w:hanging="180"/>
      </w:pPr>
    </w:lvl>
  </w:abstractNum>
  <w:abstractNum w:abstractNumId="4">
    <w:nsid w:val="11924EA5"/>
    <w:multiLevelType w:val="hybridMultilevel"/>
    <w:tmpl w:val="0DB074A4"/>
    <w:lvl w:ilvl="0" w:tplc="62748B4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E26796"/>
    <w:multiLevelType w:val="hybridMultilevel"/>
    <w:tmpl w:val="5D3ADDE4"/>
    <w:lvl w:ilvl="0" w:tplc="AE58EBA2">
      <w:start w:val="1"/>
      <w:numFmt w:val="bullet"/>
      <w:pStyle w:val="-ListBullet"/>
      <w:lvlText w:val=""/>
      <w:lvlJc w:val="left"/>
      <w:pPr>
        <w:tabs>
          <w:tab w:val="num" w:pos="1008"/>
        </w:tabs>
        <w:ind w:left="1008" w:hanging="288"/>
      </w:pPr>
      <w:rPr>
        <w:rFonts w:ascii="Symbol" w:hAnsi="Symbol" w:hint="default"/>
        <w:sz w:val="22"/>
        <w:szCs w:val="22"/>
      </w:rPr>
    </w:lvl>
    <w:lvl w:ilvl="1" w:tplc="31CCB38A" w:tentative="1">
      <w:start w:val="1"/>
      <w:numFmt w:val="bullet"/>
      <w:lvlText w:val="o"/>
      <w:lvlJc w:val="left"/>
      <w:pPr>
        <w:tabs>
          <w:tab w:val="num" w:pos="1440"/>
        </w:tabs>
        <w:ind w:left="1440" w:hanging="360"/>
      </w:pPr>
      <w:rPr>
        <w:rFonts w:ascii="Courier New" w:hAnsi="Courier New" w:cs="Courier" w:hint="default"/>
      </w:rPr>
    </w:lvl>
    <w:lvl w:ilvl="2" w:tplc="639A6E68" w:tentative="1">
      <w:start w:val="1"/>
      <w:numFmt w:val="bullet"/>
      <w:lvlText w:val=""/>
      <w:lvlJc w:val="left"/>
      <w:pPr>
        <w:tabs>
          <w:tab w:val="num" w:pos="2160"/>
        </w:tabs>
        <w:ind w:left="2160" w:hanging="360"/>
      </w:pPr>
      <w:rPr>
        <w:rFonts w:ascii="Wingdings" w:hAnsi="Wingdings" w:hint="default"/>
      </w:rPr>
    </w:lvl>
    <w:lvl w:ilvl="3" w:tplc="FFD42B50" w:tentative="1">
      <w:start w:val="1"/>
      <w:numFmt w:val="bullet"/>
      <w:lvlText w:val=""/>
      <w:lvlJc w:val="left"/>
      <w:pPr>
        <w:tabs>
          <w:tab w:val="num" w:pos="2880"/>
        </w:tabs>
        <w:ind w:left="2880" w:hanging="360"/>
      </w:pPr>
      <w:rPr>
        <w:rFonts w:ascii="Symbol" w:hAnsi="Symbol" w:hint="default"/>
      </w:rPr>
    </w:lvl>
    <w:lvl w:ilvl="4" w:tplc="F070A34C" w:tentative="1">
      <w:start w:val="1"/>
      <w:numFmt w:val="bullet"/>
      <w:lvlText w:val="o"/>
      <w:lvlJc w:val="left"/>
      <w:pPr>
        <w:tabs>
          <w:tab w:val="num" w:pos="3600"/>
        </w:tabs>
        <w:ind w:left="3600" w:hanging="360"/>
      </w:pPr>
      <w:rPr>
        <w:rFonts w:ascii="Courier New" w:hAnsi="Courier New" w:cs="Courier" w:hint="default"/>
      </w:rPr>
    </w:lvl>
    <w:lvl w:ilvl="5" w:tplc="0B062766" w:tentative="1">
      <w:start w:val="1"/>
      <w:numFmt w:val="bullet"/>
      <w:lvlText w:val=""/>
      <w:lvlJc w:val="left"/>
      <w:pPr>
        <w:tabs>
          <w:tab w:val="num" w:pos="4320"/>
        </w:tabs>
        <w:ind w:left="4320" w:hanging="360"/>
      </w:pPr>
      <w:rPr>
        <w:rFonts w:ascii="Wingdings" w:hAnsi="Wingdings" w:hint="default"/>
      </w:rPr>
    </w:lvl>
    <w:lvl w:ilvl="6" w:tplc="BE30E206" w:tentative="1">
      <w:start w:val="1"/>
      <w:numFmt w:val="bullet"/>
      <w:lvlText w:val=""/>
      <w:lvlJc w:val="left"/>
      <w:pPr>
        <w:tabs>
          <w:tab w:val="num" w:pos="5040"/>
        </w:tabs>
        <w:ind w:left="5040" w:hanging="360"/>
      </w:pPr>
      <w:rPr>
        <w:rFonts w:ascii="Symbol" w:hAnsi="Symbol" w:hint="default"/>
      </w:rPr>
    </w:lvl>
    <w:lvl w:ilvl="7" w:tplc="8618E48C" w:tentative="1">
      <w:start w:val="1"/>
      <w:numFmt w:val="bullet"/>
      <w:lvlText w:val="o"/>
      <w:lvlJc w:val="left"/>
      <w:pPr>
        <w:tabs>
          <w:tab w:val="num" w:pos="5760"/>
        </w:tabs>
        <w:ind w:left="5760" w:hanging="360"/>
      </w:pPr>
      <w:rPr>
        <w:rFonts w:ascii="Courier New" w:hAnsi="Courier New" w:cs="Courier" w:hint="default"/>
      </w:rPr>
    </w:lvl>
    <w:lvl w:ilvl="8" w:tplc="8C180D42" w:tentative="1">
      <w:start w:val="1"/>
      <w:numFmt w:val="bullet"/>
      <w:lvlText w:val=""/>
      <w:lvlJc w:val="left"/>
      <w:pPr>
        <w:tabs>
          <w:tab w:val="num" w:pos="6480"/>
        </w:tabs>
        <w:ind w:left="6480" w:hanging="360"/>
      </w:pPr>
      <w:rPr>
        <w:rFonts w:ascii="Wingdings" w:hAnsi="Wingdings" w:hint="default"/>
      </w:rPr>
    </w:lvl>
  </w:abstractNum>
  <w:abstractNum w:abstractNumId="6">
    <w:nsid w:val="2A7B70A9"/>
    <w:multiLevelType w:val="hybridMultilevel"/>
    <w:tmpl w:val="EF401BBE"/>
    <w:lvl w:ilvl="0" w:tplc="2814DD86">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3111237D"/>
    <w:multiLevelType w:val="hybridMultilevel"/>
    <w:tmpl w:val="469E7F64"/>
    <w:lvl w:ilvl="0" w:tplc="7A663038">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E2A83"/>
    <w:multiLevelType w:val="hybridMultilevel"/>
    <w:tmpl w:val="93A0CCE4"/>
    <w:lvl w:ilvl="0" w:tplc="26F83B70">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33F62D8F"/>
    <w:multiLevelType w:val="hybridMultilevel"/>
    <w:tmpl w:val="6A3021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5390B8B"/>
    <w:multiLevelType w:val="hybridMultilevel"/>
    <w:tmpl w:val="85048D48"/>
    <w:lvl w:ilvl="0" w:tplc="441402D8">
      <w:start w:val="589"/>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82D90"/>
    <w:multiLevelType w:val="hybridMultilevel"/>
    <w:tmpl w:val="1A46549A"/>
    <w:lvl w:ilvl="0" w:tplc="4B22C586">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BFC6FFF"/>
    <w:multiLevelType w:val="hybridMultilevel"/>
    <w:tmpl w:val="A262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6648A"/>
    <w:multiLevelType w:val="hybridMultilevel"/>
    <w:tmpl w:val="AD54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D4930"/>
    <w:multiLevelType w:val="hybridMultilevel"/>
    <w:tmpl w:val="0AA8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372ED"/>
    <w:multiLevelType w:val="hybridMultilevel"/>
    <w:tmpl w:val="7F321180"/>
    <w:lvl w:ilvl="0" w:tplc="04090001">
      <w:start w:val="1"/>
      <w:numFmt w:val="bullet"/>
      <w:lvlText w:val=""/>
      <w:lvlJc w:val="left"/>
      <w:pPr>
        <w:ind w:left="1700" w:hanging="98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CF6C4C"/>
    <w:multiLevelType w:val="hybridMultilevel"/>
    <w:tmpl w:val="89700DF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46CD74D4"/>
    <w:multiLevelType w:val="hybridMultilevel"/>
    <w:tmpl w:val="95F694AC"/>
    <w:lvl w:ilvl="0" w:tplc="9F1C981A">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655AC3"/>
    <w:multiLevelType w:val="hybridMultilevel"/>
    <w:tmpl w:val="63D8B5F4"/>
    <w:lvl w:ilvl="0" w:tplc="04090001">
      <w:start w:val="1"/>
      <w:numFmt w:val="bullet"/>
      <w:lvlText w:val=""/>
      <w:lvlJc w:val="left"/>
      <w:pPr>
        <w:tabs>
          <w:tab w:val="num" w:pos="720"/>
        </w:tabs>
        <w:ind w:left="720" w:hanging="360"/>
      </w:pPr>
      <w:rPr>
        <w:rFonts w:ascii="Symbol" w:hAnsi="Symbol" w:hint="default"/>
        <w:b w:val="0"/>
        <w:bCs w:val="0"/>
        <w:i w:val="0"/>
        <w:iCs w:val="0"/>
        <w:strike w:val="0"/>
        <w:color w:val="000000"/>
        <w:sz w:val="20"/>
        <w:szCs w:val="20"/>
        <w:u w:val="none"/>
      </w:rPr>
    </w:lvl>
    <w:lvl w:ilvl="1" w:tplc="F3BAE70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07905AE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46EABC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81FADBD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2110ACA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15DE587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0714F6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B027BF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9">
    <w:nsid w:val="4BC34A37"/>
    <w:multiLevelType w:val="hybridMultilevel"/>
    <w:tmpl w:val="8250A8E8"/>
    <w:lvl w:ilvl="0" w:tplc="089204B8">
      <w:start w:val="1"/>
      <w:numFmt w:val="decimal"/>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DE91AF7"/>
    <w:multiLevelType w:val="hybridMultilevel"/>
    <w:tmpl w:val="5E148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7B052D"/>
    <w:multiLevelType w:val="hybridMultilevel"/>
    <w:tmpl w:val="3B3E484C"/>
    <w:lvl w:ilvl="0" w:tplc="E40AE9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FE710F7"/>
    <w:multiLevelType w:val="hybridMultilevel"/>
    <w:tmpl w:val="EAC4F3F0"/>
    <w:lvl w:ilvl="0" w:tplc="02F83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1EC0EF4"/>
    <w:multiLevelType w:val="multilevel"/>
    <w:tmpl w:val="8F7880DA"/>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55155C3B"/>
    <w:multiLevelType w:val="hybridMultilevel"/>
    <w:tmpl w:val="395A9918"/>
    <w:lvl w:ilvl="0" w:tplc="C7CEE77C">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55915B5A"/>
    <w:multiLevelType w:val="hybridMultilevel"/>
    <w:tmpl w:val="1F2A1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B1AA3"/>
    <w:multiLevelType w:val="hybridMultilevel"/>
    <w:tmpl w:val="4D8AFD2E"/>
    <w:lvl w:ilvl="0" w:tplc="8362B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41605E"/>
    <w:multiLevelType w:val="hybridMultilevel"/>
    <w:tmpl w:val="5C00E69E"/>
    <w:lvl w:ilvl="0" w:tplc="6774422E">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B46FE1"/>
    <w:multiLevelType w:val="hybridMultilevel"/>
    <w:tmpl w:val="4EF0B7E8"/>
    <w:lvl w:ilvl="0" w:tplc="72E4F630">
      <w:start w:val="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5C04960"/>
    <w:multiLevelType w:val="hybridMultilevel"/>
    <w:tmpl w:val="3B3E484C"/>
    <w:lvl w:ilvl="0" w:tplc="E40AE96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BB66A87"/>
    <w:multiLevelType w:val="hybridMultilevel"/>
    <w:tmpl w:val="50C02C2A"/>
    <w:lvl w:ilvl="0" w:tplc="D9B6A6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1A773C"/>
    <w:multiLevelType w:val="hybridMultilevel"/>
    <w:tmpl w:val="098A6C04"/>
    <w:lvl w:ilvl="0" w:tplc="04090001">
      <w:start w:val="1"/>
      <w:numFmt w:val="bullet"/>
      <w:lvlText w:val=""/>
      <w:lvlJc w:val="left"/>
      <w:pPr>
        <w:tabs>
          <w:tab w:val="num" w:pos="720"/>
        </w:tabs>
        <w:ind w:left="720" w:hanging="360"/>
      </w:pPr>
      <w:rPr>
        <w:rFonts w:ascii="Symbol" w:hAnsi="Symbol" w:hint="default"/>
        <w:b w:val="0"/>
        <w:bCs w:val="0"/>
        <w:i w:val="0"/>
        <w:iCs w:val="0"/>
        <w:strike w:val="0"/>
        <w:color w:val="000000"/>
        <w:sz w:val="20"/>
        <w:szCs w:val="20"/>
        <w:u w:val="none"/>
      </w:rPr>
    </w:lvl>
    <w:lvl w:ilvl="1" w:tplc="F3BAE70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07905AE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46EABC8">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81FADBD6">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2110ACA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15DE587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0714F684">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DB027BF4">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32">
    <w:nsid w:val="705829C0"/>
    <w:multiLevelType w:val="hybridMultilevel"/>
    <w:tmpl w:val="7C5C7CF6"/>
    <w:lvl w:ilvl="0" w:tplc="DF52068C">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nsid w:val="75505BA3"/>
    <w:multiLevelType w:val="hybridMultilevel"/>
    <w:tmpl w:val="714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2D7BE9"/>
    <w:multiLevelType w:val="hybridMultilevel"/>
    <w:tmpl w:val="48DE030C"/>
    <w:lvl w:ilvl="0" w:tplc="6FF45FE4">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EF7CA0"/>
    <w:multiLevelType w:val="hybridMultilevel"/>
    <w:tmpl w:val="A2204CE4"/>
    <w:lvl w:ilvl="0" w:tplc="EF4E11C8">
      <w:numFmt w:val="bullet"/>
      <w:lvlText w:val="-"/>
      <w:lvlJc w:val="left"/>
      <w:pPr>
        <w:ind w:left="405" w:hanging="360"/>
      </w:pPr>
      <w:rPr>
        <w:rFonts w:ascii="Cambria" w:eastAsiaTheme="majorEastAsia" w:hAnsi="Cambria" w:cstheme="maj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nsid w:val="7CE001EB"/>
    <w:multiLevelType w:val="hybridMultilevel"/>
    <w:tmpl w:val="8A48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3"/>
  </w:num>
  <w:num w:numId="5">
    <w:abstractNumId w:val="17"/>
  </w:num>
  <w:num w:numId="6">
    <w:abstractNumId w:val="27"/>
  </w:num>
  <w:num w:numId="7">
    <w:abstractNumId w:val="13"/>
  </w:num>
  <w:num w:numId="8">
    <w:abstractNumId w:val="16"/>
  </w:num>
  <w:num w:numId="9">
    <w:abstractNumId w:val="20"/>
  </w:num>
  <w:num w:numId="10">
    <w:abstractNumId w:val="25"/>
  </w:num>
  <w:num w:numId="11">
    <w:abstractNumId w:val="1"/>
  </w:num>
  <w:num w:numId="12">
    <w:abstractNumId w:val="11"/>
  </w:num>
  <w:num w:numId="13">
    <w:abstractNumId w:val="24"/>
  </w:num>
  <w:num w:numId="14">
    <w:abstractNumId w:val="35"/>
  </w:num>
  <w:num w:numId="15">
    <w:abstractNumId w:val="6"/>
  </w:num>
  <w:num w:numId="16">
    <w:abstractNumId w:val="32"/>
  </w:num>
  <w:num w:numId="17">
    <w:abstractNumId w:val="8"/>
  </w:num>
  <w:num w:numId="18">
    <w:abstractNumId w:val="34"/>
  </w:num>
  <w:num w:numId="19">
    <w:abstractNumId w:val="7"/>
  </w:num>
  <w:num w:numId="20">
    <w:abstractNumId w:val="10"/>
  </w:num>
  <w:num w:numId="21">
    <w:abstractNumId w:val="28"/>
  </w:num>
  <w:num w:numId="22">
    <w:abstractNumId w:val="4"/>
  </w:num>
  <w:num w:numId="23">
    <w:abstractNumId w:val="9"/>
  </w:num>
  <w:num w:numId="24">
    <w:abstractNumId w:val="19"/>
  </w:num>
  <w:num w:numId="25">
    <w:abstractNumId w:val="21"/>
  </w:num>
  <w:num w:numId="26">
    <w:abstractNumId w:val="22"/>
  </w:num>
  <w:num w:numId="27">
    <w:abstractNumId w:val="30"/>
  </w:num>
  <w:num w:numId="28">
    <w:abstractNumId w:val="26"/>
  </w:num>
  <w:num w:numId="29">
    <w:abstractNumId w:val="29"/>
  </w:num>
  <w:num w:numId="30">
    <w:abstractNumId w:val="2"/>
  </w:num>
  <w:num w:numId="31">
    <w:abstractNumId w:val="33"/>
  </w:num>
  <w:num w:numId="32">
    <w:abstractNumId w:val="36"/>
  </w:num>
  <w:num w:numId="33">
    <w:abstractNumId w:val="15"/>
  </w:num>
  <w:num w:numId="34">
    <w:abstractNumId w:val="12"/>
  </w:num>
  <w:num w:numId="35">
    <w:abstractNumId w:val="14"/>
  </w:num>
  <w:num w:numId="36">
    <w:abstractNumId w:val="18"/>
  </w:num>
  <w:num w:numId="3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noPunctuationKerning/>
  <w:characterSpacingControl w:val="doNotCompress"/>
  <w:hdrShapeDefaults>
    <o:shapedefaults v:ext="edit" spidmax="2049" fillcolor="white">
      <v:fill color="white"/>
      <o:colormru v:ext="edit" colors="#96969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AE"/>
    <w:rsid w:val="00007109"/>
    <w:rsid w:val="000110E9"/>
    <w:rsid w:val="0001715A"/>
    <w:rsid w:val="00017368"/>
    <w:rsid w:val="00025438"/>
    <w:rsid w:val="00032526"/>
    <w:rsid w:val="000347F9"/>
    <w:rsid w:val="00052577"/>
    <w:rsid w:val="00081A5B"/>
    <w:rsid w:val="00086934"/>
    <w:rsid w:val="000A0387"/>
    <w:rsid w:val="000B27CD"/>
    <w:rsid w:val="000C337E"/>
    <w:rsid w:val="000C6487"/>
    <w:rsid w:val="000D1ACD"/>
    <w:rsid w:val="000E27AB"/>
    <w:rsid w:val="00105BE2"/>
    <w:rsid w:val="00114F44"/>
    <w:rsid w:val="001207A4"/>
    <w:rsid w:val="00121E3E"/>
    <w:rsid w:val="001234D7"/>
    <w:rsid w:val="00143226"/>
    <w:rsid w:val="00143F91"/>
    <w:rsid w:val="00150ECE"/>
    <w:rsid w:val="00172F25"/>
    <w:rsid w:val="00176615"/>
    <w:rsid w:val="0019028F"/>
    <w:rsid w:val="00195877"/>
    <w:rsid w:val="001A4CE8"/>
    <w:rsid w:val="001C0D5D"/>
    <w:rsid w:val="001C6520"/>
    <w:rsid w:val="001C7082"/>
    <w:rsid w:val="001D0A01"/>
    <w:rsid w:val="001D475E"/>
    <w:rsid w:val="001E2019"/>
    <w:rsid w:val="001E5598"/>
    <w:rsid w:val="002007C7"/>
    <w:rsid w:val="002050EF"/>
    <w:rsid w:val="002058C9"/>
    <w:rsid w:val="002358B6"/>
    <w:rsid w:val="002464B0"/>
    <w:rsid w:val="00257AC2"/>
    <w:rsid w:val="00273A72"/>
    <w:rsid w:val="00277476"/>
    <w:rsid w:val="002A12B8"/>
    <w:rsid w:val="002B0217"/>
    <w:rsid w:val="002B30D1"/>
    <w:rsid w:val="002B3CC3"/>
    <w:rsid w:val="002E7ADE"/>
    <w:rsid w:val="002F3204"/>
    <w:rsid w:val="002F626E"/>
    <w:rsid w:val="00307388"/>
    <w:rsid w:val="003113BE"/>
    <w:rsid w:val="003206D0"/>
    <w:rsid w:val="00323EE1"/>
    <w:rsid w:val="0034457A"/>
    <w:rsid w:val="00345ACC"/>
    <w:rsid w:val="0036691A"/>
    <w:rsid w:val="00372970"/>
    <w:rsid w:val="0037741A"/>
    <w:rsid w:val="00382261"/>
    <w:rsid w:val="00384EA4"/>
    <w:rsid w:val="003925F5"/>
    <w:rsid w:val="003928FE"/>
    <w:rsid w:val="00394301"/>
    <w:rsid w:val="003B6E70"/>
    <w:rsid w:val="003F7A29"/>
    <w:rsid w:val="00412DD8"/>
    <w:rsid w:val="00415AC2"/>
    <w:rsid w:val="004165F9"/>
    <w:rsid w:val="004231F2"/>
    <w:rsid w:val="004775C9"/>
    <w:rsid w:val="00480EEA"/>
    <w:rsid w:val="004855FD"/>
    <w:rsid w:val="00486CDD"/>
    <w:rsid w:val="00490DCC"/>
    <w:rsid w:val="004920CD"/>
    <w:rsid w:val="00493B79"/>
    <w:rsid w:val="004A3BAC"/>
    <w:rsid w:val="004B12A3"/>
    <w:rsid w:val="004B4519"/>
    <w:rsid w:val="004C2410"/>
    <w:rsid w:val="004E73BC"/>
    <w:rsid w:val="004F0349"/>
    <w:rsid w:val="00517AD2"/>
    <w:rsid w:val="00542D5D"/>
    <w:rsid w:val="00561143"/>
    <w:rsid w:val="00573327"/>
    <w:rsid w:val="00582923"/>
    <w:rsid w:val="00585AF7"/>
    <w:rsid w:val="005B4FF0"/>
    <w:rsid w:val="005C2F15"/>
    <w:rsid w:val="005C6D85"/>
    <w:rsid w:val="005D191F"/>
    <w:rsid w:val="005D620D"/>
    <w:rsid w:val="00604D97"/>
    <w:rsid w:val="00607D7B"/>
    <w:rsid w:val="00612D02"/>
    <w:rsid w:val="00614EB7"/>
    <w:rsid w:val="00667703"/>
    <w:rsid w:val="00675CDA"/>
    <w:rsid w:val="00681CB6"/>
    <w:rsid w:val="0069635C"/>
    <w:rsid w:val="006A0F06"/>
    <w:rsid w:val="006B4A7C"/>
    <w:rsid w:val="006D5C9A"/>
    <w:rsid w:val="006E5270"/>
    <w:rsid w:val="007001CB"/>
    <w:rsid w:val="00710320"/>
    <w:rsid w:val="0071180E"/>
    <w:rsid w:val="00713076"/>
    <w:rsid w:val="00724DB4"/>
    <w:rsid w:val="00726952"/>
    <w:rsid w:val="00746C21"/>
    <w:rsid w:val="00752381"/>
    <w:rsid w:val="00761988"/>
    <w:rsid w:val="007649B5"/>
    <w:rsid w:val="00764A36"/>
    <w:rsid w:val="00782920"/>
    <w:rsid w:val="00797E82"/>
    <w:rsid w:val="007A36E5"/>
    <w:rsid w:val="007A5D83"/>
    <w:rsid w:val="007B3932"/>
    <w:rsid w:val="007B4B3B"/>
    <w:rsid w:val="007D24CC"/>
    <w:rsid w:val="007D32BF"/>
    <w:rsid w:val="007D6C29"/>
    <w:rsid w:val="007D70C4"/>
    <w:rsid w:val="007E134B"/>
    <w:rsid w:val="007E2454"/>
    <w:rsid w:val="007E45FE"/>
    <w:rsid w:val="007F5293"/>
    <w:rsid w:val="00801158"/>
    <w:rsid w:val="008060B3"/>
    <w:rsid w:val="0081282E"/>
    <w:rsid w:val="008159B9"/>
    <w:rsid w:val="00817BAC"/>
    <w:rsid w:val="00831644"/>
    <w:rsid w:val="00843242"/>
    <w:rsid w:val="0084795A"/>
    <w:rsid w:val="00863B37"/>
    <w:rsid w:val="0086408D"/>
    <w:rsid w:val="00864332"/>
    <w:rsid w:val="008711B7"/>
    <w:rsid w:val="0087620F"/>
    <w:rsid w:val="0088576B"/>
    <w:rsid w:val="008A3D3C"/>
    <w:rsid w:val="008B022D"/>
    <w:rsid w:val="008D50D3"/>
    <w:rsid w:val="008D7EE0"/>
    <w:rsid w:val="009026E4"/>
    <w:rsid w:val="0091045C"/>
    <w:rsid w:val="00910717"/>
    <w:rsid w:val="00930BAB"/>
    <w:rsid w:val="00943AEC"/>
    <w:rsid w:val="00943DDA"/>
    <w:rsid w:val="00957067"/>
    <w:rsid w:val="0096006B"/>
    <w:rsid w:val="0096357B"/>
    <w:rsid w:val="00963962"/>
    <w:rsid w:val="0098128E"/>
    <w:rsid w:val="009A2426"/>
    <w:rsid w:val="009A6053"/>
    <w:rsid w:val="009C2241"/>
    <w:rsid w:val="009D100F"/>
    <w:rsid w:val="009D3D54"/>
    <w:rsid w:val="009E0A29"/>
    <w:rsid w:val="009E7890"/>
    <w:rsid w:val="009F27AE"/>
    <w:rsid w:val="00A00CEA"/>
    <w:rsid w:val="00A04D32"/>
    <w:rsid w:val="00A25775"/>
    <w:rsid w:val="00A506AE"/>
    <w:rsid w:val="00A5705A"/>
    <w:rsid w:val="00A61519"/>
    <w:rsid w:val="00A64A40"/>
    <w:rsid w:val="00A71C23"/>
    <w:rsid w:val="00A7675E"/>
    <w:rsid w:val="00A82D74"/>
    <w:rsid w:val="00A8332B"/>
    <w:rsid w:val="00A83410"/>
    <w:rsid w:val="00A86954"/>
    <w:rsid w:val="00A90C9C"/>
    <w:rsid w:val="00AA1F36"/>
    <w:rsid w:val="00AB0682"/>
    <w:rsid w:val="00AB06BA"/>
    <w:rsid w:val="00AD4639"/>
    <w:rsid w:val="00AF1B2D"/>
    <w:rsid w:val="00B00501"/>
    <w:rsid w:val="00B43149"/>
    <w:rsid w:val="00B614D3"/>
    <w:rsid w:val="00B658D2"/>
    <w:rsid w:val="00B749CC"/>
    <w:rsid w:val="00B77C0C"/>
    <w:rsid w:val="00B906C5"/>
    <w:rsid w:val="00B937C1"/>
    <w:rsid w:val="00B95049"/>
    <w:rsid w:val="00B96CA5"/>
    <w:rsid w:val="00BA0391"/>
    <w:rsid w:val="00BB1EFC"/>
    <w:rsid w:val="00BC73E6"/>
    <w:rsid w:val="00BC7420"/>
    <w:rsid w:val="00BD585A"/>
    <w:rsid w:val="00BE164D"/>
    <w:rsid w:val="00BF0606"/>
    <w:rsid w:val="00BF0D08"/>
    <w:rsid w:val="00BF2CC9"/>
    <w:rsid w:val="00BF4B3A"/>
    <w:rsid w:val="00BF5A3C"/>
    <w:rsid w:val="00C0041F"/>
    <w:rsid w:val="00C140FB"/>
    <w:rsid w:val="00C164A1"/>
    <w:rsid w:val="00C33C7C"/>
    <w:rsid w:val="00C736BC"/>
    <w:rsid w:val="00C75548"/>
    <w:rsid w:val="00C90FFD"/>
    <w:rsid w:val="00CA45EE"/>
    <w:rsid w:val="00CA566A"/>
    <w:rsid w:val="00CA73D0"/>
    <w:rsid w:val="00CD32DE"/>
    <w:rsid w:val="00CE3147"/>
    <w:rsid w:val="00CF5EDC"/>
    <w:rsid w:val="00D13AC6"/>
    <w:rsid w:val="00D13DB3"/>
    <w:rsid w:val="00D214D7"/>
    <w:rsid w:val="00D41641"/>
    <w:rsid w:val="00D43740"/>
    <w:rsid w:val="00D44C7B"/>
    <w:rsid w:val="00D52E72"/>
    <w:rsid w:val="00D63DF3"/>
    <w:rsid w:val="00D73181"/>
    <w:rsid w:val="00D8683D"/>
    <w:rsid w:val="00D925FB"/>
    <w:rsid w:val="00D97AB2"/>
    <w:rsid w:val="00DA4529"/>
    <w:rsid w:val="00DA6BFF"/>
    <w:rsid w:val="00DD0A90"/>
    <w:rsid w:val="00DD7356"/>
    <w:rsid w:val="00DF3A33"/>
    <w:rsid w:val="00E00F68"/>
    <w:rsid w:val="00E035D1"/>
    <w:rsid w:val="00E10531"/>
    <w:rsid w:val="00E578E4"/>
    <w:rsid w:val="00E62DBF"/>
    <w:rsid w:val="00E66B56"/>
    <w:rsid w:val="00E7679E"/>
    <w:rsid w:val="00E97E0A"/>
    <w:rsid w:val="00E97E8E"/>
    <w:rsid w:val="00EC044C"/>
    <w:rsid w:val="00EC39D7"/>
    <w:rsid w:val="00ED0E43"/>
    <w:rsid w:val="00ED5D9F"/>
    <w:rsid w:val="00EE2F53"/>
    <w:rsid w:val="00EE5E81"/>
    <w:rsid w:val="00F0187E"/>
    <w:rsid w:val="00F123D4"/>
    <w:rsid w:val="00F15258"/>
    <w:rsid w:val="00F20434"/>
    <w:rsid w:val="00F230A4"/>
    <w:rsid w:val="00F24A7C"/>
    <w:rsid w:val="00F3236C"/>
    <w:rsid w:val="00F40E31"/>
    <w:rsid w:val="00F533E2"/>
    <w:rsid w:val="00F72084"/>
    <w:rsid w:val="00F830B3"/>
    <w:rsid w:val="00F87359"/>
    <w:rsid w:val="00F87A01"/>
    <w:rsid w:val="00FB3EB4"/>
    <w:rsid w:val="00FC64A9"/>
    <w:rsid w:val="00FD397B"/>
    <w:rsid w:val="00FD4DE9"/>
    <w:rsid w:val="00FD5F0F"/>
    <w:rsid w:val="00FE3A9E"/>
    <w:rsid w:val="00FE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969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19"/>
  </w:style>
  <w:style w:type="paragraph" w:styleId="Heading1">
    <w:name w:val="heading 1"/>
    <w:basedOn w:val="Normal"/>
    <w:next w:val="Normal"/>
    <w:link w:val="Heading1Char"/>
    <w:uiPriority w:val="9"/>
    <w:qFormat/>
    <w:rsid w:val="004B451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B4519"/>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B451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B4519"/>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4B4519"/>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4B451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4B451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4B451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4B451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Normal"/>
    <w:autoRedefine/>
    <w:semiHidden/>
    <w:pPr>
      <w:numPr>
        <w:numId w:val="2"/>
      </w:numPr>
      <w:tabs>
        <w:tab w:val="left" w:pos="360"/>
        <w:tab w:val="num" w:pos="504"/>
        <w:tab w:val="left" w:pos="720"/>
        <w:tab w:val="left" w:pos="1080"/>
      </w:tabs>
      <w:spacing w:before="120" w:line="264" w:lineRule="auto"/>
      <w:ind w:hanging="216"/>
    </w:pPr>
    <w:rPr>
      <w:rFonts w:eastAsia="Times New Roman"/>
      <w:szCs w:val="20"/>
    </w:rPr>
  </w:style>
  <w:style w:type="paragraph" w:customStyle="1" w:styleId="-ListBullet">
    <w:name w:val="- List Bullet"/>
    <w:basedOn w:val="Normal"/>
    <w:pPr>
      <w:numPr>
        <w:numId w:val="3"/>
      </w:numPr>
      <w:spacing w:before="120" w:line="264" w:lineRule="auto"/>
    </w:pPr>
    <w:rPr>
      <w:rFonts w:eastAsia="Times New Roman"/>
      <w:szCs w:val="20"/>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spacing w:line="480" w:lineRule="auto"/>
      <w:ind w:left="360" w:hanging="360"/>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SimSun"/>
      <w:color w:val="000000"/>
    </w:rPr>
  </w:style>
  <w:style w:type="character" w:styleId="FollowedHyperlink">
    <w:name w:val="FollowedHyperlink"/>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spacing w:line="480" w:lineRule="auto"/>
      <w:jc w:val="center"/>
      <w:outlineLvl w:val="0"/>
    </w:pPr>
  </w:style>
  <w:style w:type="paragraph" w:styleId="BodyTextIndent2">
    <w:name w:val="Body Text Indent 2"/>
    <w:basedOn w:val="Normal"/>
    <w:semiHidden/>
    <w:pPr>
      <w:spacing w:line="480" w:lineRule="auto"/>
      <w:ind w:firstLine="720"/>
    </w:pPr>
  </w:style>
  <w:style w:type="paragraph" w:styleId="BodyTextIndent3">
    <w:name w:val="Body Text Indent 3"/>
    <w:basedOn w:val="Normal"/>
    <w:semiHidden/>
    <w:pPr>
      <w:spacing w:line="480" w:lineRule="auto"/>
      <w:ind w:firstLine="108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autoSpaceDE w:val="0"/>
      <w:autoSpaceDN w:val="0"/>
      <w:adjustRightInd w:val="0"/>
      <w:ind w:left="-180" w:right="-540"/>
      <w:jc w:val="both"/>
    </w:pPr>
    <w:rPr>
      <w:rFonts w:eastAsia="Times New Roman"/>
    </w:rPr>
  </w:style>
  <w:style w:type="paragraph" w:styleId="PlainText">
    <w:name w:val="Plain Text"/>
    <w:basedOn w:val="Normal"/>
    <w:semiHidden/>
    <w:rPr>
      <w:rFonts w:ascii="Courier" w:eastAsia="Times" w:hAnsi="Courier"/>
    </w:rPr>
  </w:style>
  <w:style w:type="character" w:customStyle="1" w:styleId="apple-style-span">
    <w:name w:val="apple-style-span"/>
    <w:basedOn w:val="DefaultParagraphFont"/>
    <w:rsid w:val="00C140FB"/>
  </w:style>
  <w:style w:type="character" w:customStyle="1" w:styleId="apple-converted-space">
    <w:name w:val="apple-converted-space"/>
    <w:basedOn w:val="DefaultParagraphFont"/>
    <w:rsid w:val="00C140FB"/>
  </w:style>
  <w:style w:type="character" w:customStyle="1" w:styleId="bodytext0">
    <w:name w:val="bodytext"/>
    <w:basedOn w:val="DefaultParagraphFont"/>
    <w:rsid w:val="00A5705A"/>
  </w:style>
  <w:style w:type="paragraph" w:styleId="ListParagraph">
    <w:name w:val="List Paragraph"/>
    <w:basedOn w:val="Normal"/>
    <w:uiPriority w:val="34"/>
    <w:qFormat/>
    <w:rsid w:val="004B4519"/>
    <w:pPr>
      <w:ind w:left="720"/>
      <w:contextualSpacing/>
    </w:pPr>
  </w:style>
  <w:style w:type="character" w:customStyle="1" w:styleId="Heading1Char">
    <w:name w:val="Heading 1 Char"/>
    <w:basedOn w:val="DefaultParagraphFont"/>
    <w:link w:val="Heading1"/>
    <w:uiPriority w:val="9"/>
    <w:rsid w:val="004B4519"/>
    <w:rPr>
      <w:smallCaps/>
      <w:spacing w:val="5"/>
      <w:sz w:val="36"/>
      <w:szCs w:val="36"/>
    </w:rPr>
  </w:style>
  <w:style w:type="character" w:customStyle="1" w:styleId="Heading2Char">
    <w:name w:val="Heading 2 Char"/>
    <w:basedOn w:val="DefaultParagraphFont"/>
    <w:link w:val="Heading2"/>
    <w:uiPriority w:val="9"/>
    <w:rsid w:val="004B4519"/>
    <w:rPr>
      <w:smallCaps/>
      <w:sz w:val="28"/>
      <w:szCs w:val="28"/>
    </w:rPr>
  </w:style>
  <w:style w:type="character" w:customStyle="1" w:styleId="Heading3Char">
    <w:name w:val="Heading 3 Char"/>
    <w:basedOn w:val="DefaultParagraphFont"/>
    <w:link w:val="Heading3"/>
    <w:uiPriority w:val="9"/>
    <w:rsid w:val="004B4519"/>
    <w:rPr>
      <w:i/>
      <w:iCs/>
      <w:smallCaps/>
      <w:spacing w:val="5"/>
      <w:sz w:val="26"/>
      <w:szCs w:val="26"/>
    </w:rPr>
  </w:style>
  <w:style w:type="character" w:customStyle="1" w:styleId="Heading4Char">
    <w:name w:val="Heading 4 Char"/>
    <w:basedOn w:val="DefaultParagraphFont"/>
    <w:link w:val="Heading4"/>
    <w:uiPriority w:val="9"/>
    <w:rsid w:val="004B4519"/>
    <w:rPr>
      <w:b/>
      <w:bCs/>
      <w:spacing w:val="5"/>
      <w:sz w:val="24"/>
      <w:szCs w:val="24"/>
    </w:rPr>
  </w:style>
  <w:style w:type="character" w:customStyle="1" w:styleId="Heading5Char">
    <w:name w:val="Heading 5 Char"/>
    <w:basedOn w:val="DefaultParagraphFont"/>
    <w:link w:val="Heading5"/>
    <w:uiPriority w:val="9"/>
    <w:rsid w:val="004B4519"/>
    <w:rPr>
      <w:i/>
      <w:iCs/>
      <w:sz w:val="24"/>
      <w:szCs w:val="24"/>
    </w:rPr>
  </w:style>
  <w:style w:type="character" w:customStyle="1" w:styleId="Heading6Char">
    <w:name w:val="Heading 6 Char"/>
    <w:basedOn w:val="DefaultParagraphFont"/>
    <w:link w:val="Heading6"/>
    <w:uiPriority w:val="9"/>
    <w:rsid w:val="004B45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4B4519"/>
    <w:rPr>
      <w:b/>
      <w:bCs/>
      <w:i/>
      <w:iCs/>
      <w:color w:val="5A5A5A" w:themeColor="text1" w:themeTint="A5"/>
      <w:sz w:val="20"/>
      <w:szCs w:val="20"/>
    </w:rPr>
  </w:style>
  <w:style w:type="character" w:customStyle="1" w:styleId="Heading8Char">
    <w:name w:val="Heading 8 Char"/>
    <w:basedOn w:val="DefaultParagraphFont"/>
    <w:link w:val="Heading8"/>
    <w:uiPriority w:val="9"/>
    <w:rsid w:val="004B4519"/>
    <w:rPr>
      <w:b/>
      <w:bCs/>
      <w:color w:val="7F7F7F" w:themeColor="text1" w:themeTint="80"/>
      <w:sz w:val="20"/>
      <w:szCs w:val="20"/>
    </w:rPr>
  </w:style>
  <w:style w:type="character" w:customStyle="1" w:styleId="Heading9Char">
    <w:name w:val="Heading 9 Char"/>
    <w:basedOn w:val="DefaultParagraphFont"/>
    <w:link w:val="Heading9"/>
    <w:uiPriority w:val="9"/>
    <w:rsid w:val="004B4519"/>
    <w:rPr>
      <w:b/>
      <w:bCs/>
      <w:i/>
      <w:iCs/>
      <w:color w:val="7F7F7F" w:themeColor="text1" w:themeTint="80"/>
      <w:sz w:val="18"/>
      <w:szCs w:val="18"/>
    </w:rPr>
  </w:style>
  <w:style w:type="paragraph" w:styleId="Title">
    <w:name w:val="Title"/>
    <w:basedOn w:val="Normal"/>
    <w:next w:val="Normal"/>
    <w:link w:val="TitleChar"/>
    <w:uiPriority w:val="10"/>
    <w:qFormat/>
    <w:rsid w:val="004B451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B4519"/>
    <w:rPr>
      <w:smallCaps/>
      <w:sz w:val="52"/>
      <w:szCs w:val="52"/>
    </w:rPr>
  </w:style>
  <w:style w:type="paragraph" w:styleId="Subtitle">
    <w:name w:val="Subtitle"/>
    <w:basedOn w:val="Normal"/>
    <w:next w:val="Normal"/>
    <w:link w:val="SubtitleChar"/>
    <w:uiPriority w:val="11"/>
    <w:qFormat/>
    <w:rsid w:val="004B4519"/>
    <w:rPr>
      <w:i/>
      <w:iCs/>
      <w:smallCaps/>
      <w:spacing w:val="10"/>
      <w:sz w:val="28"/>
      <w:szCs w:val="28"/>
    </w:rPr>
  </w:style>
  <w:style w:type="character" w:customStyle="1" w:styleId="SubtitleChar">
    <w:name w:val="Subtitle Char"/>
    <w:basedOn w:val="DefaultParagraphFont"/>
    <w:link w:val="Subtitle"/>
    <w:uiPriority w:val="11"/>
    <w:rsid w:val="004B4519"/>
    <w:rPr>
      <w:i/>
      <w:iCs/>
      <w:smallCaps/>
      <w:spacing w:val="10"/>
      <w:sz w:val="28"/>
      <w:szCs w:val="28"/>
    </w:rPr>
  </w:style>
  <w:style w:type="character" w:styleId="Strong">
    <w:name w:val="Strong"/>
    <w:uiPriority w:val="22"/>
    <w:qFormat/>
    <w:rsid w:val="004B4519"/>
    <w:rPr>
      <w:b/>
      <w:bCs/>
    </w:rPr>
  </w:style>
  <w:style w:type="character" w:styleId="Emphasis">
    <w:name w:val="Emphasis"/>
    <w:uiPriority w:val="20"/>
    <w:qFormat/>
    <w:rsid w:val="004B4519"/>
    <w:rPr>
      <w:b/>
      <w:bCs/>
      <w:i/>
      <w:iCs/>
      <w:spacing w:val="10"/>
    </w:rPr>
  </w:style>
  <w:style w:type="paragraph" w:styleId="NoSpacing">
    <w:name w:val="No Spacing"/>
    <w:basedOn w:val="Normal"/>
    <w:link w:val="NoSpacingChar"/>
    <w:uiPriority w:val="1"/>
    <w:qFormat/>
    <w:rsid w:val="004B4519"/>
    <w:pPr>
      <w:spacing w:after="0" w:line="240" w:lineRule="auto"/>
    </w:pPr>
  </w:style>
  <w:style w:type="paragraph" w:styleId="Quote">
    <w:name w:val="Quote"/>
    <w:basedOn w:val="Normal"/>
    <w:next w:val="Normal"/>
    <w:link w:val="QuoteChar"/>
    <w:uiPriority w:val="29"/>
    <w:qFormat/>
    <w:rsid w:val="004B4519"/>
    <w:rPr>
      <w:i/>
      <w:iCs/>
    </w:rPr>
  </w:style>
  <w:style w:type="character" w:customStyle="1" w:styleId="QuoteChar">
    <w:name w:val="Quote Char"/>
    <w:basedOn w:val="DefaultParagraphFont"/>
    <w:link w:val="Quote"/>
    <w:uiPriority w:val="29"/>
    <w:rsid w:val="004B4519"/>
    <w:rPr>
      <w:i/>
      <w:iCs/>
    </w:rPr>
  </w:style>
  <w:style w:type="paragraph" w:styleId="IntenseQuote">
    <w:name w:val="Intense Quote"/>
    <w:basedOn w:val="Normal"/>
    <w:next w:val="Normal"/>
    <w:link w:val="IntenseQuoteChar"/>
    <w:uiPriority w:val="30"/>
    <w:qFormat/>
    <w:rsid w:val="004B451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B4519"/>
    <w:rPr>
      <w:i/>
      <w:iCs/>
    </w:rPr>
  </w:style>
  <w:style w:type="character" w:styleId="SubtleEmphasis">
    <w:name w:val="Subtle Emphasis"/>
    <w:uiPriority w:val="19"/>
    <w:qFormat/>
    <w:rsid w:val="004B4519"/>
    <w:rPr>
      <w:i/>
      <w:iCs/>
    </w:rPr>
  </w:style>
  <w:style w:type="character" w:styleId="IntenseEmphasis">
    <w:name w:val="Intense Emphasis"/>
    <w:uiPriority w:val="21"/>
    <w:qFormat/>
    <w:rsid w:val="004B4519"/>
    <w:rPr>
      <w:b/>
      <w:bCs/>
      <w:i/>
      <w:iCs/>
    </w:rPr>
  </w:style>
  <w:style w:type="character" w:styleId="SubtleReference">
    <w:name w:val="Subtle Reference"/>
    <w:basedOn w:val="DefaultParagraphFont"/>
    <w:uiPriority w:val="31"/>
    <w:qFormat/>
    <w:rsid w:val="004B4519"/>
    <w:rPr>
      <w:smallCaps/>
    </w:rPr>
  </w:style>
  <w:style w:type="character" w:styleId="IntenseReference">
    <w:name w:val="Intense Reference"/>
    <w:uiPriority w:val="32"/>
    <w:qFormat/>
    <w:rsid w:val="004B4519"/>
    <w:rPr>
      <w:b/>
      <w:bCs/>
      <w:smallCaps/>
    </w:rPr>
  </w:style>
  <w:style w:type="character" w:styleId="BookTitle">
    <w:name w:val="Book Title"/>
    <w:basedOn w:val="DefaultParagraphFont"/>
    <w:uiPriority w:val="33"/>
    <w:qFormat/>
    <w:rsid w:val="004B4519"/>
    <w:rPr>
      <w:i/>
      <w:iCs/>
      <w:smallCaps/>
      <w:spacing w:val="5"/>
    </w:rPr>
  </w:style>
  <w:style w:type="paragraph" w:styleId="TOCHeading">
    <w:name w:val="TOC Heading"/>
    <w:basedOn w:val="Heading1"/>
    <w:next w:val="Normal"/>
    <w:uiPriority w:val="39"/>
    <w:unhideWhenUsed/>
    <w:qFormat/>
    <w:rsid w:val="004B4519"/>
    <w:pPr>
      <w:outlineLvl w:val="9"/>
    </w:pPr>
    <w:rPr>
      <w:lang w:bidi="en-US"/>
    </w:rPr>
  </w:style>
  <w:style w:type="paragraph" w:styleId="TOC1">
    <w:name w:val="toc 1"/>
    <w:basedOn w:val="Normal"/>
    <w:next w:val="Normal"/>
    <w:autoRedefine/>
    <w:uiPriority w:val="39"/>
    <w:unhideWhenUsed/>
    <w:qFormat/>
    <w:rsid w:val="00CA73D0"/>
    <w:pPr>
      <w:spacing w:after="100"/>
    </w:pPr>
  </w:style>
  <w:style w:type="paragraph" w:styleId="TOC2">
    <w:name w:val="toc 2"/>
    <w:basedOn w:val="Normal"/>
    <w:next w:val="Normal"/>
    <w:autoRedefine/>
    <w:uiPriority w:val="39"/>
    <w:unhideWhenUsed/>
    <w:qFormat/>
    <w:rsid w:val="00CA73D0"/>
    <w:pPr>
      <w:spacing w:after="100"/>
      <w:ind w:left="220"/>
    </w:pPr>
  </w:style>
  <w:style w:type="paragraph" w:styleId="TOC3">
    <w:name w:val="toc 3"/>
    <w:basedOn w:val="Normal"/>
    <w:next w:val="Normal"/>
    <w:autoRedefine/>
    <w:uiPriority w:val="39"/>
    <w:unhideWhenUsed/>
    <w:qFormat/>
    <w:rsid w:val="00CA73D0"/>
    <w:pPr>
      <w:spacing w:after="100"/>
      <w:ind w:left="440"/>
    </w:pPr>
  </w:style>
  <w:style w:type="character" w:customStyle="1" w:styleId="NoSpacingChar">
    <w:name w:val="No Spacing Char"/>
    <w:basedOn w:val="DefaultParagraphFont"/>
    <w:link w:val="NoSpacing"/>
    <w:uiPriority w:val="1"/>
    <w:rsid w:val="00CA73D0"/>
  </w:style>
  <w:style w:type="paragraph" w:styleId="Caption">
    <w:name w:val="caption"/>
    <w:basedOn w:val="Normal"/>
    <w:next w:val="Normal"/>
    <w:uiPriority w:val="35"/>
    <w:unhideWhenUsed/>
    <w:rsid w:val="00F20434"/>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F20434"/>
    <w:pPr>
      <w:spacing w:after="0"/>
    </w:pPr>
  </w:style>
  <w:style w:type="paragraph" w:styleId="HTMLPreformatted">
    <w:name w:val="HTML Preformatted"/>
    <w:basedOn w:val="Normal"/>
    <w:link w:val="HTMLPreformattedChar"/>
    <w:uiPriority w:val="99"/>
    <w:semiHidden/>
    <w:unhideWhenUsed/>
    <w:rsid w:val="001E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201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19"/>
  </w:style>
  <w:style w:type="paragraph" w:styleId="Heading1">
    <w:name w:val="heading 1"/>
    <w:basedOn w:val="Normal"/>
    <w:next w:val="Normal"/>
    <w:link w:val="Heading1Char"/>
    <w:uiPriority w:val="9"/>
    <w:qFormat/>
    <w:rsid w:val="004B451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B4519"/>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4B451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4B4519"/>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4B4519"/>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4B451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unhideWhenUsed/>
    <w:qFormat/>
    <w:rsid w:val="004B451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unhideWhenUsed/>
    <w:qFormat/>
    <w:rsid w:val="004B451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unhideWhenUsed/>
    <w:qFormat/>
    <w:rsid w:val="004B451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Normal"/>
    <w:autoRedefine/>
    <w:semiHidden/>
    <w:pPr>
      <w:numPr>
        <w:numId w:val="2"/>
      </w:numPr>
      <w:tabs>
        <w:tab w:val="left" w:pos="360"/>
        <w:tab w:val="num" w:pos="504"/>
        <w:tab w:val="left" w:pos="720"/>
        <w:tab w:val="left" w:pos="1080"/>
      </w:tabs>
      <w:spacing w:before="120" w:line="264" w:lineRule="auto"/>
      <w:ind w:hanging="216"/>
    </w:pPr>
    <w:rPr>
      <w:rFonts w:eastAsia="Times New Roman"/>
      <w:szCs w:val="20"/>
    </w:rPr>
  </w:style>
  <w:style w:type="paragraph" w:customStyle="1" w:styleId="-ListBullet">
    <w:name w:val="- List Bullet"/>
    <w:basedOn w:val="Normal"/>
    <w:pPr>
      <w:numPr>
        <w:numId w:val="3"/>
      </w:numPr>
      <w:spacing w:before="120" w:line="264" w:lineRule="auto"/>
    </w:pPr>
    <w:rPr>
      <w:rFonts w:eastAsia="Times New Roman"/>
      <w:szCs w:val="20"/>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spacing w:line="480" w:lineRule="auto"/>
      <w:ind w:left="360" w:hanging="360"/>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SimSun"/>
      <w:color w:val="000000"/>
    </w:rPr>
  </w:style>
  <w:style w:type="character" w:styleId="FollowedHyperlink">
    <w:name w:val="FollowedHyperlink"/>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semiHidden/>
    <w:pPr>
      <w:spacing w:line="480" w:lineRule="auto"/>
      <w:jc w:val="center"/>
      <w:outlineLvl w:val="0"/>
    </w:pPr>
  </w:style>
  <w:style w:type="paragraph" w:styleId="BodyTextIndent2">
    <w:name w:val="Body Text Indent 2"/>
    <w:basedOn w:val="Normal"/>
    <w:semiHidden/>
    <w:pPr>
      <w:spacing w:line="480" w:lineRule="auto"/>
      <w:ind w:firstLine="720"/>
    </w:pPr>
  </w:style>
  <w:style w:type="paragraph" w:styleId="BodyTextIndent3">
    <w:name w:val="Body Text Indent 3"/>
    <w:basedOn w:val="Normal"/>
    <w:semiHidden/>
    <w:pPr>
      <w:spacing w:line="480" w:lineRule="auto"/>
      <w:ind w:firstLine="1080"/>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autoSpaceDE w:val="0"/>
      <w:autoSpaceDN w:val="0"/>
      <w:adjustRightInd w:val="0"/>
      <w:ind w:left="-180" w:right="-540"/>
      <w:jc w:val="both"/>
    </w:pPr>
    <w:rPr>
      <w:rFonts w:eastAsia="Times New Roman"/>
    </w:rPr>
  </w:style>
  <w:style w:type="paragraph" w:styleId="PlainText">
    <w:name w:val="Plain Text"/>
    <w:basedOn w:val="Normal"/>
    <w:semiHidden/>
    <w:rPr>
      <w:rFonts w:ascii="Courier" w:eastAsia="Times" w:hAnsi="Courier"/>
    </w:rPr>
  </w:style>
  <w:style w:type="character" w:customStyle="1" w:styleId="apple-style-span">
    <w:name w:val="apple-style-span"/>
    <w:basedOn w:val="DefaultParagraphFont"/>
    <w:rsid w:val="00C140FB"/>
  </w:style>
  <w:style w:type="character" w:customStyle="1" w:styleId="apple-converted-space">
    <w:name w:val="apple-converted-space"/>
    <w:basedOn w:val="DefaultParagraphFont"/>
    <w:rsid w:val="00C140FB"/>
  </w:style>
  <w:style w:type="character" w:customStyle="1" w:styleId="bodytext0">
    <w:name w:val="bodytext"/>
    <w:basedOn w:val="DefaultParagraphFont"/>
    <w:rsid w:val="00A5705A"/>
  </w:style>
  <w:style w:type="paragraph" w:styleId="ListParagraph">
    <w:name w:val="List Paragraph"/>
    <w:basedOn w:val="Normal"/>
    <w:uiPriority w:val="34"/>
    <w:qFormat/>
    <w:rsid w:val="004B4519"/>
    <w:pPr>
      <w:ind w:left="720"/>
      <w:contextualSpacing/>
    </w:pPr>
  </w:style>
  <w:style w:type="character" w:customStyle="1" w:styleId="Heading1Char">
    <w:name w:val="Heading 1 Char"/>
    <w:basedOn w:val="DefaultParagraphFont"/>
    <w:link w:val="Heading1"/>
    <w:uiPriority w:val="9"/>
    <w:rsid w:val="004B4519"/>
    <w:rPr>
      <w:smallCaps/>
      <w:spacing w:val="5"/>
      <w:sz w:val="36"/>
      <w:szCs w:val="36"/>
    </w:rPr>
  </w:style>
  <w:style w:type="character" w:customStyle="1" w:styleId="Heading2Char">
    <w:name w:val="Heading 2 Char"/>
    <w:basedOn w:val="DefaultParagraphFont"/>
    <w:link w:val="Heading2"/>
    <w:uiPriority w:val="9"/>
    <w:rsid w:val="004B4519"/>
    <w:rPr>
      <w:smallCaps/>
      <w:sz w:val="28"/>
      <w:szCs w:val="28"/>
    </w:rPr>
  </w:style>
  <w:style w:type="character" w:customStyle="1" w:styleId="Heading3Char">
    <w:name w:val="Heading 3 Char"/>
    <w:basedOn w:val="DefaultParagraphFont"/>
    <w:link w:val="Heading3"/>
    <w:uiPriority w:val="9"/>
    <w:rsid w:val="004B4519"/>
    <w:rPr>
      <w:i/>
      <w:iCs/>
      <w:smallCaps/>
      <w:spacing w:val="5"/>
      <w:sz w:val="26"/>
      <w:szCs w:val="26"/>
    </w:rPr>
  </w:style>
  <w:style w:type="character" w:customStyle="1" w:styleId="Heading4Char">
    <w:name w:val="Heading 4 Char"/>
    <w:basedOn w:val="DefaultParagraphFont"/>
    <w:link w:val="Heading4"/>
    <w:uiPriority w:val="9"/>
    <w:rsid w:val="004B4519"/>
    <w:rPr>
      <w:b/>
      <w:bCs/>
      <w:spacing w:val="5"/>
      <w:sz w:val="24"/>
      <w:szCs w:val="24"/>
    </w:rPr>
  </w:style>
  <w:style w:type="character" w:customStyle="1" w:styleId="Heading5Char">
    <w:name w:val="Heading 5 Char"/>
    <w:basedOn w:val="DefaultParagraphFont"/>
    <w:link w:val="Heading5"/>
    <w:uiPriority w:val="9"/>
    <w:rsid w:val="004B4519"/>
    <w:rPr>
      <w:i/>
      <w:iCs/>
      <w:sz w:val="24"/>
      <w:szCs w:val="24"/>
    </w:rPr>
  </w:style>
  <w:style w:type="character" w:customStyle="1" w:styleId="Heading6Char">
    <w:name w:val="Heading 6 Char"/>
    <w:basedOn w:val="DefaultParagraphFont"/>
    <w:link w:val="Heading6"/>
    <w:uiPriority w:val="9"/>
    <w:rsid w:val="004B451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rsid w:val="004B4519"/>
    <w:rPr>
      <w:b/>
      <w:bCs/>
      <w:i/>
      <w:iCs/>
      <w:color w:val="5A5A5A" w:themeColor="text1" w:themeTint="A5"/>
      <w:sz w:val="20"/>
      <w:szCs w:val="20"/>
    </w:rPr>
  </w:style>
  <w:style w:type="character" w:customStyle="1" w:styleId="Heading8Char">
    <w:name w:val="Heading 8 Char"/>
    <w:basedOn w:val="DefaultParagraphFont"/>
    <w:link w:val="Heading8"/>
    <w:uiPriority w:val="9"/>
    <w:rsid w:val="004B4519"/>
    <w:rPr>
      <w:b/>
      <w:bCs/>
      <w:color w:val="7F7F7F" w:themeColor="text1" w:themeTint="80"/>
      <w:sz w:val="20"/>
      <w:szCs w:val="20"/>
    </w:rPr>
  </w:style>
  <w:style w:type="character" w:customStyle="1" w:styleId="Heading9Char">
    <w:name w:val="Heading 9 Char"/>
    <w:basedOn w:val="DefaultParagraphFont"/>
    <w:link w:val="Heading9"/>
    <w:uiPriority w:val="9"/>
    <w:rsid w:val="004B4519"/>
    <w:rPr>
      <w:b/>
      <w:bCs/>
      <w:i/>
      <w:iCs/>
      <w:color w:val="7F7F7F" w:themeColor="text1" w:themeTint="80"/>
      <w:sz w:val="18"/>
      <w:szCs w:val="18"/>
    </w:rPr>
  </w:style>
  <w:style w:type="paragraph" w:styleId="Title">
    <w:name w:val="Title"/>
    <w:basedOn w:val="Normal"/>
    <w:next w:val="Normal"/>
    <w:link w:val="TitleChar"/>
    <w:uiPriority w:val="10"/>
    <w:qFormat/>
    <w:rsid w:val="004B451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B4519"/>
    <w:rPr>
      <w:smallCaps/>
      <w:sz w:val="52"/>
      <w:szCs w:val="52"/>
    </w:rPr>
  </w:style>
  <w:style w:type="paragraph" w:styleId="Subtitle">
    <w:name w:val="Subtitle"/>
    <w:basedOn w:val="Normal"/>
    <w:next w:val="Normal"/>
    <w:link w:val="SubtitleChar"/>
    <w:uiPriority w:val="11"/>
    <w:qFormat/>
    <w:rsid w:val="004B4519"/>
    <w:rPr>
      <w:i/>
      <w:iCs/>
      <w:smallCaps/>
      <w:spacing w:val="10"/>
      <w:sz w:val="28"/>
      <w:szCs w:val="28"/>
    </w:rPr>
  </w:style>
  <w:style w:type="character" w:customStyle="1" w:styleId="SubtitleChar">
    <w:name w:val="Subtitle Char"/>
    <w:basedOn w:val="DefaultParagraphFont"/>
    <w:link w:val="Subtitle"/>
    <w:uiPriority w:val="11"/>
    <w:rsid w:val="004B4519"/>
    <w:rPr>
      <w:i/>
      <w:iCs/>
      <w:smallCaps/>
      <w:spacing w:val="10"/>
      <w:sz w:val="28"/>
      <w:szCs w:val="28"/>
    </w:rPr>
  </w:style>
  <w:style w:type="character" w:styleId="Strong">
    <w:name w:val="Strong"/>
    <w:uiPriority w:val="22"/>
    <w:qFormat/>
    <w:rsid w:val="004B4519"/>
    <w:rPr>
      <w:b/>
      <w:bCs/>
    </w:rPr>
  </w:style>
  <w:style w:type="character" w:styleId="Emphasis">
    <w:name w:val="Emphasis"/>
    <w:uiPriority w:val="20"/>
    <w:qFormat/>
    <w:rsid w:val="004B4519"/>
    <w:rPr>
      <w:b/>
      <w:bCs/>
      <w:i/>
      <w:iCs/>
      <w:spacing w:val="10"/>
    </w:rPr>
  </w:style>
  <w:style w:type="paragraph" w:styleId="NoSpacing">
    <w:name w:val="No Spacing"/>
    <w:basedOn w:val="Normal"/>
    <w:link w:val="NoSpacingChar"/>
    <w:uiPriority w:val="1"/>
    <w:qFormat/>
    <w:rsid w:val="004B4519"/>
    <w:pPr>
      <w:spacing w:after="0" w:line="240" w:lineRule="auto"/>
    </w:pPr>
  </w:style>
  <w:style w:type="paragraph" w:styleId="Quote">
    <w:name w:val="Quote"/>
    <w:basedOn w:val="Normal"/>
    <w:next w:val="Normal"/>
    <w:link w:val="QuoteChar"/>
    <w:uiPriority w:val="29"/>
    <w:qFormat/>
    <w:rsid w:val="004B4519"/>
    <w:rPr>
      <w:i/>
      <w:iCs/>
    </w:rPr>
  </w:style>
  <w:style w:type="character" w:customStyle="1" w:styleId="QuoteChar">
    <w:name w:val="Quote Char"/>
    <w:basedOn w:val="DefaultParagraphFont"/>
    <w:link w:val="Quote"/>
    <w:uiPriority w:val="29"/>
    <w:rsid w:val="004B4519"/>
    <w:rPr>
      <w:i/>
      <w:iCs/>
    </w:rPr>
  </w:style>
  <w:style w:type="paragraph" w:styleId="IntenseQuote">
    <w:name w:val="Intense Quote"/>
    <w:basedOn w:val="Normal"/>
    <w:next w:val="Normal"/>
    <w:link w:val="IntenseQuoteChar"/>
    <w:uiPriority w:val="30"/>
    <w:qFormat/>
    <w:rsid w:val="004B451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B4519"/>
    <w:rPr>
      <w:i/>
      <w:iCs/>
    </w:rPr>
  </w:style>
  <w:style w:type="character" w:styleId="SubtleEmphasis">
    <w:name w:val="Subtle Emphasis"/>
    <w:uiPriority w:val="19"/>
    <w:qFormat/>
    <w:rsid w:val="004B4519"/>
    <w:rPr>
      <w:i/>
      <w:iCs/>
    </w:rPr>
  </w:style>
  <w:style w:type="character" w:styleId="IntenseEmphasis">
    <w:name w:val="Intense Emphasis"/>
    <w:uiPriority w:val="21"/>
    <w:qFormat/>
    <w:rsid w:val="004B4519"/>
    <w:rPr>
      <w:b/>
      <w:bCs/>
      <w:i/>
      <w:iCs/>
    </w:rPr>
  </w:style>
  <w:style w:type="character" w:styleId="SubtleReference">
    <w:name w:val="Subtle Reference"/>
    <w:basedOn w:val="DefaultParagraphFont"/>
    <w:uiPriority w:val="31"/>
    <w:qFormat/>
    <w:rsid w:val="004B4519"/>
    <w:rPr>
      <w:smallCaps/>
    </w:rPr>
  </w:style>
  <w:style w:type="character" w:styleId="IntenseReference">
    <w:name w:val="Intense Reference"/>
    <w:uiPriority w:val="32"/>
    <w:qFormat/>
    <w:rsid w:val="004B4519"/>
    <w:rPr>
      <w:b/>
      <w:bCs/>
      <w:smallCaps/>
    </w:rPr>
  </w:style>
  <w:style w:type="character" w:styleId="BookTitle">
    <w:name w:val="Book Title"/>
    <w:basedOn w:val="DefaultParagraphFont"/>
    <w:uiPriority w:val="33"/>
    <w:qFormat/>
    <w:rsid w:val="004B4519"/>
    <w:rPr>
      <w:i/>
      <w:iCs/>
      <w:smallCaps/>
      <w:spacing w:val="5"/>
    </w:rPr>
  </w:style>
  <w:style w:type="paragraph" w:styleId="TOCHeading">
    <w:name w:val="TOC Heading"/>
    <w:basedOn w:val="Heading1"/>
    <w:next w:val="Normal"/>
    <w:uiPriority w:val="39"/>
    <w:unhideWhenUsed/>
    <w:qFormat/>
    <w:rsid w:val="004B4519"/>
    <w:pPr>
      <w:outlineLvl w:val="9"/>
    </w:pPr>
    <w:rPr>
      <w:lang w:bidi="en-US"/>
    </w:rPr>
  </w:style>
  <w:style w:type="paragraph" w:styleId="TOC1">
    <w:name w:val="toc 1"/>
    <w:basedOn w:val="Normal"/>
    <w:next w:val="Normal"/>
    <w:autoRedefine/>
    <w:uiPriority w:val="39"/>
    <w:unhideWhenUsed/>
    <w:qFormat/>
    <w:rsid w:val="00CA73D0"/>
    <w:pPr>
      <w:spacing w:after="100"/>
    </w:pPr>
  </w:style>
  <w:style w:type="paragraph" w:styleId="TOC2">
    <w:name w:val="toc 2"/>
    <w:basedOn w:val="Normal"/>
    <w:next w:val="Normal"/>
    <w:autoRedefine/>
    <w:uiPriority w:val="39"/>
    <w:unhideWhenUsed/>
    <w:qFormat/>
    <w:rsid w:val="00CA73D0"/>
    <w:pPr>
      <w:spacing w:after="100"/>
      <w:ind w:left="220"/>
    </w:pPr>
  </w:style>
  <w:style w:type="paragraph" w:styleId="TOC3">
    <w:name w:val="toc 3"/>
    <w:basedOn w:val="Normal"/>
    <w:next w:val="Normal"/>
    <w:autoRedefine/>
    <w:uiPriority w:val="39"/>
    <w:unhideWhenUsed/>
    <w:qFormat/>
    <w:rsid w:val="00CA73D0"/>
    <w:pPr>
      <w:spacing w:after="100"/>
      <w:ind w:left="440"/>
    </w:pPr>
  </w:style>
  <w:style w:type="character" w:customStyle="1" w:styleId="NoSpacingChar">
    <w:name w:val="No Spacing Char"/>
    <w:basedOn w:val="DefaultParagraphFont"/>
    <w:link w:val="NoSpacing"/>
    <w:uiPriority w:val="1"/>
    <w:rsid w:val="00CA73D0"/>
  </w:style>
  <w:style w:type="paragraph" w:styleId="Caption">
    <w:name w:val="caption"/>
    <w:basedOn w:val="Normal"/>
    <w:next w:val="Normal"/>
    <w:uiPriority w:val="35"/>
    <w:unhideWhenUsed/>
    <w:rsid w:val="00F20434"/>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F20434"/>
    <w:pPr>
      <w:spacing w:after="0"/>
    </w:pPr>
  </w:style>
  <w:style w:type="paragraph" w:styleId="HTMLPreformatted">
    <w:name w:val="HTML Preformatted"/>
    <w:basedOn w:val="Normal"/>
    <w:link w:val="HTMLPreformattedChar"/>
    <w:uiPriority w:val="99"/>
    <w:semiHidden/>
    <w:unhideWhenUsed/>
    <w:rsid w:val="001E2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201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57964">
      <w:bodyDiv w:val="1"/>
      <w:marLeft w:val="0"/>
      <w:marRight w:val="0"/>
      <w:marTop w:val="0"/>
      <w:marBottom w:val="0"/>
      <w:divBdr>
        <w:top w:val="none" w:sz="0" w:space="0" w:color="auto"/>
        <w:left w:val="none" w:sz="0" w:space="0" w:color="auto"/>
        <w:bottom w:val="none" w:sz="0" w:space="0" w:color="auto"/>
        <w:right w:val="none" w:sz="0" w:space="0" w:color="auto"/>
      </w:divBdr>
    </w:div>
    <w:div w:id="1099371801">
      <w:bodyDiv w:val="1"/>
      <w:marLeft w:val="0"/>
      <w:marRight w:val="0"/>
      <w:marTop w:val="0"/>
      <w:marBottom w:val="0"/>
      <w:divBdr>
        <w:top w:val="none" w:sz="0" w:space="0" w:color="auto"/>
        <w:left w:val="none" w:sz="0" w:space="0" w:color="auto"/>
        <w:bottom w:val="none" w:sz="0" w:space="0" w:color="auto"/>
        <w:right w:val="none" w:sz="0" w:space="0" w:color="auto"/>
      </w:divBdr>
    </w:div>
    <w:div w:id="1131482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image" Target="media/image27.wmf"/><Relationship Id="rId68" Type="http://schemas.openxmlformats.org/officeDocument/2006/relationships/oleObject" Target="embeddings/oleObject28.bin"/><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chart" Target="charts/chart1.xml"/><Relationship Id="rId53" Type="http://schemas.openxmlformats.org/officeDocument/2006/relationships/oleObject" Target="embeddings/oleObject21.bin"/><Relationship Id="rId58" Type="http://schemas.openxmlformats.org/officeDocument/2006/relationships/chart" Target="charts/chart2.xml"/><Relationship Id="rId66" Type="http://schemas.openxmlformats.org/officeDocument/2006/relationships/oleObject" Target="embeddings/oleObject27.bin"/><Relationship Id="rId5" Type="http://schemas.microsoft.com/office/2007/relationships/stylesWithEffects" Target="stylesWithEffects.xml"/><Relationship Id="rId61" Type="http://schemas.openxmlformats.org/officeDocument/2006/relationships/image" Target="media/image26.wmf"/><Relationship Id="rId1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6.bin"/><Relationship Id="rId69" Type="http://schemas.openxmlformats.org/officeDocument/2006/relationships/chart" Target="charts/chart3.xml"/><Relationship Id="rId8" Type="http://schemas.openxmlformats.org/officeDocument/2006/relationships/footnotes" Target="footnotes.xml"/><Relationship Id="rId51" Type="http://schemas.openxmlformats.org/officeDocument/2006/relationships/oleObject" Target="embeddings/oleObject20.bin"/><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image" Target="media/image19.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25.bin"/><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1.jpeg"/><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image" Target="media/image28.wmf"/><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34" Type="http://schemas.openxmlformats.org/officeDocument/2006/relationships/oleObject" Target="embeddings/oleObject12.bin"/><Relationship Id="rId50" Type="http://schemas.openxmlformats.org/officeDocument/2006/relationships/image" Target="media/image21.wmf"/><Relationship Id="rId55" Type="http://schemas.openxmlformats.org/officeDocument/2006/relationships/oleObject" Target="embeddings/oleObject22.bin"/><Relationship Id="rId7" Type="http://schemas.openxmlformats.org/officeDocument/2006/relationships/webSettings" Target="webSettings.xml"/><Relationship Id="rId71"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Ksenia:Downloads:Master%20Copy%20of%20Data%20Collection.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Macintosh%20HD:Users:Ksenia:Desktop:Ksenia%20School:CE372:P-IW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numFmt formatCode="0.00%" sourceLinked="0"/>
            <c:showLegendKey val="1"/>
            <c:showVal val="0"/>
            <c:showCatName val="0"/>
            <c:showSerName val="0"/>
            <c:showPercent val="1"/>
            <c:showBubbleSize val="0"/>
            <c:showLeaderLines val="1"/>
          </c:dLbls>
          <c:cat>
            <c:strRef>
              <c:f>'Master Table'!$L$13:$L$20</c:f>
              <c:strCache>
                <c:ptCount val="8"/>
                <c:pt idx="0">
                  <c:v>SINGLE OFFICE</c:v>
                </c:pt>
                <c:pt idx="1">
                  <c:v>OFFICE BUIDLING</c:v>
                </c:pt>
                <c:pt idx="2">
                  <c:v>ELEM. SCHOOL</c:v>
                </c:pt>
                <c:pt idx="3">
                  <c:v>WHOLESALE</c:v>
                </c:pt>
                <c:pt idx="4">
                  <c:v>GENERAL RETAIL</c:v>
                </c:pt>
                <c:pt idx="5">
                  <c:v>FOOD STORE</c:v>
                </c:pt>
                <c:pt idx="6">
                  <c:v>FAST FOOD</c:v>
                </c:pt>
                <c:pt idx="7">
                  <c:v>RESTAURANTS</c:v>
                </c:pt>
              </c:strCache>
            </c:strRef>
          </c:cat>
          <c:val>
            <c:numRef>
              <c:f>'Master Table'!$P$13:$P$20</c:f>
              <c:numCache>
                <c:formatCode>General</c:formatCode>
                <c:ptCount val="8"/>
                <c:pt idx="0">
                  <c:v>378</c:v>
                </c:pt>
                <c:pt idx="1">
                  <c:v>1404</c:v>
                </c:pt>
                <c:pt idx="2">
                  <c:v>2284</c:v>
                </c:pt>
                <c:pt idx="3">
                  <c:v>264</c:v>
                </c:pt>
                <c:pt idx="4">
                  <c:v>11139</c:v>
                </c:pt>
                <c:pt idx="5">
                  <c:v>41464</c:v>
                </c:pt>
                <c:pt idx="6">
                  <c:v>8600</c:v>
                </c:pt>
                <c:pt idx="7">
                  <c:v>13303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n-US"/>
              <a:t>Project MSW (</a:t>
            </a:r>
            <a:r>
              <a:rPr lang="en-US">
                <a:latin typeface="+mj-lt"/>
              </a:rPr>
              <a:t>tons/week</a:t>
            </a:r>
            <a:r>
              <a:rPr lang="en-US"/>
              <a:t>) </a:t>
            </a:r>
          </a:p>
        </c:rich>
      </c:tx>
      <c:layout>
        <c:manualLayout>
          <c:xMode val="edge"/>
          <c:yMode val="edge"/>
          <c:x val="0.31599537037037034"/>
          <c:y val="3.5087719298245612E-2"/>
        </c:manualLayout>
      </c:layout>
      <c:overlay val="0"/>
    </c:title>
    <c:autoTitleDeleted val="0"/>
    <c:plotArea>
      <c:layout/>
      <c:pieChart>
        <c:varyColors val="1"/>
        <c:ser>
          <c:idx val="0"/>
          <c:order val="0"/>
          <c:tx>
            <c:strRef>
              <c:f>Sheet1!$B$8</c:f>
              <c:strCache>
                <c:ptCount val="1"/>
                <c:pt idx="0">
                  <c:v>Amount (tons per week) </c:v>
                </c:pt>
              </c:strCache>
            </c:strRef>
          </c:tx>
          <c:explosion val="25"/>
          <c:dLbls>
            <c:dLbl>
              <c:idx val="0"/>
              <c:layout>
                <c:manualLayout>
                  <c:x val="1.953056649168854E-2"/>
                  <c:y val="-3.5036889045585717E-2"/>
                </c:manualLayout>
              </c:layout>
              <c:tx>
                <c:rich>
                  <a:bodyPr/>
                  <a:lstStyle/>
                  <a:p>
                    <a:r>
                      <a:rPr lang="en-US">
                        <a:latin typeface="+mj-lt"/>
                      </a:rPr>
                      <a:t>SW residential, 15 t/week, 35%</a:t>
                    </a:r>
                    <a:endParaRPr lang="en-US"/>
                  </a:p>
                </c:rich>
              </c:tx>
              <c:showLegendKey val="0"/>
              <c:showVal val="1"/>
              <c:showCatName val="1"/>
              <c:showSerName val="0"/>
              <c:showPercent val="1"/>
              <c:showBubbleSize val="0"/>
            </c:dLbl>
            <c:dLbl>
              <c:idx val="1"/>
              <c:layout>
                <c:manualLayout>
                  <c:x val="4.2459536307961291E-3"/>
                  <c:y val="2.8140661521787388E-2"/>
                </c:manualLayout>
              </c:layout>
              <c:tx>
                <c:rich>
                  <a:bodyPr/>
                  <a:lstStyle/>
                  <a:p>
                    <a:r>
                      <a:rPr lang="en-US">
                        <a:latin typeface="+mj-lt"/>
                      </a:rPr>
                      <a:t>SW college, 27.9 t/week, 64%</a:t>
                    </a:r>
                  </a:p>
                </c:rich>
              </c:tx>
              <c:showLegendKey val="0"/>
              <c:showVal val="1"/>
              <c:showCatName val="1"/>
              <c:showSerName val="0"/>
              <c:showPercent val="1"/>
              <c:showBubbleSize val="0"/>
            </c:dLbl>
            <c:dLbl>
              <c:idx val="2"/>
              <c:tx>
                <c:rich>
                  <a:bodyPr/>
                  <a:lstStyle/>
                  <a:p>
                    <a:r>
                      <a:rPr lang="en-US">
                        <a:latin typeface="+mj-lt"/>
                      </a:rPr>
                      <a:t>SW cafeteria, 0.3 t/week, 1%</a:t>
                    </a:r>
                  </a:p>
                </c:rich>
              </c:tx>
              <c:showLegendKey val="0"/>
              <c:showVal val="1"/>
              <c:showCatName val="1"/>
              <c:showSerName val="0"/>
              <c:showPercent val="1"/>
              <c:showBubbleSize val="0"/>
            </c:dLbl>
            <c:txPr>
              <a:bodyPr/>
              <a:lstStyle/>
              <a:p>
                <a:pPr>
                  <a:defRPr>
                    <a:latin typeface="+mj-lt"/>
                  </a:defRPr>
                </a:pPr>
                <a:endParaRPr lang="en-US"/>
              </a:p>
            </c:txPr>
            <c:showLegendKey val="0"/>
            <c:showVal val="1"/>
            <c:showCatName val="1"/>
            <c:showSerName val="0"/>
            <c:showPercent val="1"/>
            <c:showBubbleSize val="0"/>
            <c:showLeaderLines val="1"/>
          </c:dLbls>
          <c:cat>
            <c:strRef>
              <c:f>Sheet1!$A$9:$A$11</c:f>
              <c:strCache>
                <c:ptCount val="3"/>
                <c:pt idx="0">
                  <c:v>SW residential</c:v>
                </c:pt>
                <c:pt idx="1">
                  <c:v>SW college</c:v>
                </c:pt>
                <c:pt idx="2">
                  <c:v>SW cafeteria</c:v>
                </c:pt>
              </c:strCache>
            </c:strRef>
          </c:cat>
          <c:val>
            <c:numRef>
              <c:f>Sheet1!$B$9:$B$11</c:f>
              <c:numCache>
                <c:formatCode>General</c:formatCode>
                <c:ptCount val="3"/>
                <c:pt idx="0">
                  <c:v>15</c:v>
                </c:pt>
                <c:pt idx="1">
                  <c:v>27.9</c:v>
                </c:pt>
                <c:pt idx="2">
                  <c:v>0.3</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Relative MSW generated</a:t>
            </a:r>
          </a:p>
        </c:rich>
      </c:tx>
      <c:overlay val="0"/>
    </c:title>
    <c:autoTitleDeleted val="0"/>
    <c:plotArea>
      <c:layout>
        <c:manualLayout>
          <c:layoutTarget val="inner"/>
          <c:xMode val="edge"/>
          <c:yMode val="edge"/>
          <c:x val="0.15261974185248314"/>
          <c:y val="0.19480351414406533"/>
          <c:w val="0.559914921189413"/>
          <c:h val="0.68921660834062404"/>
        </c:manualLayout>
      </c:layout>
      <c:barChart>
        <c:barDir val="col"/>
        <c:grouping val="stacked"/>
        <c:varyColors val="0"/>
        <c:ser>
          <c:idx val="0"/>
          <c:order val="0"/>
          <c:tx>
            <c:v>MSW residential</c:v>
          </c:tx>
          <c:invertIfNegative val="0"/>
          <c:cat>
            <c:strRef>
              <c:f>Sheet1!$O$11:$O$12</c:f>
              <c:strCache>
                <c:ptCount val="2"/>
                <c:pt idx="0">
                  <c:v>Existing </c:v>
                </c:pt>
                <c:pt idx="1">
                  <c:v>Project</c:v>
                </c:pt>
              </c:strCache>
            </c:strRef>
          </c:cat>
          <c:val>
            <c:numRef>
              <c:f>Sheet1!$B$1:$C$1</c:f>
              <c:numCache>
                <c:formatCode>General</c:formatCode>
                <c:ptCount val="2"/>
                <c:pt idx="0">
                  <c:v>85.4</c:v>
                </c:pt>
                <c:pt idx="1">
                  <c:v>15</c:v>
                </c:pt>
              </c:numCache>
            </c:numRef>
          </c:val>
        </c:ser>
        <c:ser>
          <c:idx val="1"/>
          <c:order val="1"/>
          <c:tx>
            <c:v>CSW</c:v>
          </c:tx>
          <c:invertIfNegative val="0"/>
          <c:cat>
            <c:strRef>
              <c:f>Sheet1!$O$11:$O$12</c:f>
              <c:strCache>
                <c:ptCount val="2"/>
                <c:pt idx="0">
                  <c:v>Existing </c:v>
                </c:pt>
                <c:pt idx="1">
                  <c:v>Project</c:v>
                </c:pt>
              </c:strCache>
            </c:strRef>
          </c:cat>
          <c:val>
            <c:numRef>
              <c:f>Sheet1!$B$2:$C$2</c:f>
              <c:numCache>
                <c:formatCode>General</c:formatCode>
                <c:ptCount val="2"/>
                <c:pt idx="0">
                  <c:v>39</c:v>
                </c:pt>
                <c:pt idx="1">
                  <c:v>0</c:v>
                </c:pt>
              </c:numCache>
            </c:numRef>
          </c:val>
        </c:ser>
        <c:ser>
          <c:idx val="2"/>
          <c:order val="2"/>
          <c:tx>
            <c:v>MSW academic bldgs</c:v>
          </c:tx>
          <c:invertIfNegative val="0"/>
          <c:cat>
            <c:strRef>
              <c:f>Sheet1!$O$11:$O$12</c:f>
              <c:strCache>
                <c:ptCount val="2"/>
                <c:pt idx="0">
                  <c:v>Existing </c:v>
                </c:pt>
                <c:pt idx="1">
                  <c:v>Project</c:v>
                </c:pt>
              </c:strCache>
            </c:strRef>
          </c:cat>
          <c:val>
            <c:numRef>
              <c:f>Sheet1!$B$3:$C$3</c:f>
              <c:numCache>
                <c:formatCode>General</c:formatCode>
                <c:ptCount val="2"/>
                <c:pt idx="0">
                  <c:v>0</c:v>
                </c:pt>
                <c:pt idx="1">
                  <c:v>28.2</c:v>
                </c:pt>
              </c:numCache>
            </c:numRef>
          </c:val>
        </c:ser>
        <c:dLbls>
          <c:showLegendKey val="0"/>
          <c:showVal val="0"/>
          <c:showCatName val="0"/>
          <c:showSerName val="0"/>
          <c:showPercent val="0"/>
          <c:showBubbleSize val="0"/>
        </c:dLbls>
        <c:gapWidth val="55"/>
        <c:overlap val="100"/>
        <c:axId val="37742592"/>
        <c:axId val="152277504"/>
      </c:barChart>
      <c:catAx>
        <c:axId val="37742592"/>
        <c:scaling>
          <c:orientation val="minMax"/>
        </c:scaling>
        <c:delete val="0"/>
        <c:axPos val="b"/>
        <c:majorTickMark val="out"/>
        <c:minorTickMark val="none"/>
        <c:tickLblPos val="nextTo"/>
        <c:crossAx val="152277504"/>
        <c:crosses val="autoZero"/>
        <c:auto val="0"/>
        <c:lblAlgn val="ctr"/>
        <c:lblOffset val="100"/>
        <c:noMultiLvlLbl val="0"/>
      </c:catAx>
      <c:valAx>
        <c:axId val="152277504"/>
        <c:scaling>
          <c:orientation val="minMax"/>
        </c:scaling>
        <c:delete val="0"/>
        <c:axPos val="l"/>
        <c:majorGridlines/>
        <c:numFmt formatCode="General" sourceLinked="1"/>
        <c:majorTickMark val="none"/>
        <c:minorTickMark val="none"/>
        <c:tickLblPos val="nextTo"/>
        <c:crossAx val="3774259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0.04293</cdr:x>
      <cdr:y>0.27257</cdr:y>
    </cdr:from>
    <cdr:to>
      <cdr:x>0.1288</cdr:x>
      <cdr:y>0.80035</cdr:y>
    </cdr:to>
    <cdr:sp macro="" textlink="">
      <cdr:nvSpPr>
        <cdr:cNvPr id="2" name="TextBox 1"/>
        <cdr:cNvSpPr txBox="1"/>
      </cdr:nvSpPr>
      <cdr:spPr>
        <a:xfrm xmlns:a="http://schemas.openxmlformats.org/drawingml/2006/main">
          <a:off x="228600" y="747713"/>
          <a:ext cx="457200" cy="1447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0.03399</cdr:x>
      <cdr:y>0.25174</cdr:y>
    </cdr:from>
    <cdr:to>
      <cdr:x>0.08945</cdr:x>
      <cdr:y>0.80035</cdr:y>
    </cdr:to>
    <cdr:sp macro="" textlink="">
      <cdr:nvSpPr>
        <cdr:cNvPr id="3" name="TextBox 2"/>
        <cdr:cNvSpPr txBox="1"/>
      </cdr:nvSpPr>
      <cdr:spPr>
        <a:xfrm xmlns:a="http://schemas.openxmlformats.org/drawingml/2006/main" rot="16200000">
          <a:off x="-423860" y="1295401"/>
          <a:ext cx="1504950" cy="2952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MSW (tons/wk)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C1255A-3500-4B2A-A76A-597B7893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9140</Words>
  <Characters>52102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Proposed CCNY Extension Final Environmental Impact Assessment</vt:lpstr>
    </vt:vector>
  </TitlesOfParts>
  <Company>Toshiba</Company>
  <LinksUpToDate>false</LinksUpToDate>
  <CharactersWithSpaces>61120</CharactersWithSpaces>
  <SharedDoc>false</SharedDoc>
  <HLinks>
    <vt:vector size="24" baseType="variant">
      <vt:variant>
        <vt:i4>3407945</vt:i4>
      </vt:variant>
      <vt:variant>
        <vt:i4>21</vt:i4>
      </vt:variant>
      <vt:variant>
        <vt:i4>0</vt:i4>
      </vt:variant>
      <vt:variant>
        <vt:i4>5</vt:i4>
      </vt:variant>
      <vt:variant>
        <vt:lpwstr>http://www.engineersedge.com/aluminum_tempers.htm</vt:lpwstr>
      </vt:variant>
      <vt:variant>
        <vt:lpwstr/>
      </vt:variant>
      <vt:variant>
        <vt:i4>6225928</vt:i4>
      </vt:variant>
      <vt:variant>
        <vt:i4>18</vt:i4>
      </vt:variant>
      <vt:variant>
        <vt:i4>0</vt:i4>
      </vt:variant>
      <vt:variant>
        <vt:i4>5</vt:i4>
      </vt:variant>
      <vt:variant>
        <vt:lpwstr>http://www.alro.com/DATACatalog/CatalogPages/010-Aluminum.pdf</vt:lpwstr>
      </vt:variant>
      <vt:variant>
        <vt:lpwstr/>
      </vt:variant>
      <vt:variant>
        <vt:i4>5046342</vt:i4>
      </vt:variant>
      <vt:variant>
        <vt:i4>15</vt:i4>
      </vt:variant>
      <vt:variant>
        <vt:i4>0</vt:i4>
      </vt:variant>
      <vt:variant>
        <vt:i4>5</vt:i4>
      </vt:variant>
      <vt:variant>
        <vt:lpwstr>http://www.astm.org/</vt:lpwstr>
      </vt:variant>
      <vt:variant>
        <vt:lpwstr/>
      </vt:variant>
      <vt:variant>
        <vt:i4>5046342</vt:i4>
      </vt:variant>
      <vt:variant>
        <vt:i4>12</vt:i4>
      </vt:variant>
      <vt:variant>
        <vt:i4>0</vt:i4>
      </vt:variant>
      <vt:variant>
        <vt:i4>5</vt:i4>
      </vt:variant>
      <vt:variant>
        <vt:lpwstr>http://www.astm.org/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CCNY Extension Final Environmental Impact Assessment</dc:title>
  <dc:subject>Solid Waste Management Group</dc:subject>
  <dc:creator>Benjamin Conable, Ksenia Shikhmacheva, Sebastian Tinazzi, Jubair Uddin</dc:creator>
  <cp:lastModifiedBy>Beth Wittig</cp:lastModifiedBy>
  <cp:revision>2</cp:revision>
  <cp:lastPrinted>2011-05-08T20:15:00Z</cp:lastPrinted>
  <dcterms:created xsi:type="dcterms:W3CDTF">2011-05-10T19:37:00Z</dcterms:created>
  <dcterms:modified xsi:type="dcterms:W3CDTF">2011-05-10T19:37:00Z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